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 w:hAnsi="仿宋" w:eastAsia="仿宋" w:cs="仿宋"/>
          <w:b/>
          <w:bCs/>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drawing>
          <wp:anchor distT="0" distB="0" distL="0" distR="0" simplePos="0" relativeHeight="251661312" behindDoc="0" locked="0" layoutInCell="1" allowOverlap="1">
            <wp:simplePos x="0" y="0"/>
            <wp:positionH relativeFrom="column">
              <wp:posOffset>-313690</wp:posOffset>
            </wp:positionH>
            <wp:positionV relativeFrom="paragraph">
              <wp:posOffset>273685</wp:posOffset>
            </wp:positionV>
            <wp:extent cx="3769995" cy="666750"/>
            <wp:effectExtent l="0" t="0" r="1905" b="635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3769995" cy="666750"/>
                    </a:xfrm>
                    <a:prstGeom prst="rect">
                      <a:avLst/>
                    </a:prstGeom>
                  </pic:spPr>
                </pic:pic>
              </a:graphicData>
            </a:graphic>
          </wp:anchor>
        </w:drawing>
      </w:r>
    </w:p>
    <w:p>
      <w:pPr>
        <w:rPr>
          <w:rFonts w:ascii="仿宋" w:hAnsi="仿宋" w:eastAsia="仿宋" w:cs="仿宋"/>
          <w:b/>
          <w:bCs/>
          <w:color w:val="000000" w:themeColor="text1"/>
          <w:sz w:val="32"/>
          <w:szCs w:val="32"/>
          <w:lang w:bidi="ar"/>
          <w14:textFill>
            <w14:solidFill>
              <w14:schemeClr w14:val="tx1"/>
            </w14:solidFill>
          </w14:textFill>
        </w:rPr>
      </w:pPr>
    </w:p>
    <w:p>
      <w:pPr>
        <w:rPr>
          <w:rFonts w:ascii="仿宋" w:hAnsi="仿宋" w:eastAsia="仿宋" w:cs="仿宋"/>
          <w:b/>
          <w:bCs/>
          <w:color w:val="000000" w:themeColor="text1"/>
          <w:kern w:val="0"/>
          <w:sz w:val="32"/>
          <w:szCs w:val="32"/>
          <w:lang w:bidi="ar"/>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b/>
          <w:bCs/>
          <w:color w:val="000000" w:themeColor="text1"/>
          <w:sz w:val="32"/>
          <w:szCs w:val="32"/>
          <w:lang w:bidi="ar"/>
          <w14:textFill>
            <w14:solidFill>
              <w14:schemeClr w14:val="tx1"/>
            </w14:solidFill>
          </w14:textFill>
        </w:rPr>
      </w:pPr>
    </w:p>
    <w:p>
      <w:pPr>
        <w:spacing w:line="360" w:lineRule="auto"/>
        <w:rPr>
          <w:rFonts w:ascii="仿宋" w:hAnsi="仿宋" w:eastAsia="仿宋" w:cs="仿宋"/>
          <w:b/>
          <w:bCs/>
          <w:color w:val="000000" w:themeColor="text1"/>
          <w:sz w:val="52"/>
          <w:szCs w:val="52"/>
          <w14:textFill>
            <w14:solidFill>
              <w14:schemeClr w14:val="tx1"/>
            </w14:solidFill>
          </w14:textFill>
        </w:rPr>
      </w:pPr>
    </w:p>
    <w:p>
      <w:pPr>
        <w:pStyle w:val="2"/>
      </w:pPr>
    </w:p>
    <w:p/>
    <w:p>
      <w:pPr>
        <w:spacing w:before="156" w:beforeLines="50" w:after="312" w:afterLines="100" w:line="480" w:lineRule="auto"/>
        <w:jc w:val="center"/>
        <w:rPr>
          <w:rFonts w:ascii="仿宋" w:hAnsi="仿宋" w:eastAsia="仿宋" w:cs="仿宋"/>
          <w:b/>
          <w:bCs/>
          <w:color w:val="000000" w:themeColor="text1"/>
          <w:sz w:val="72"/>
          <w:szCs w:val="72"/>
          <w14:textFill>
            <w14:solidFill>
              <w14:schemeClr w14:val="tx1"/>
            </w14:solidFill>
          </w14:textFill>
        </w:rPr>
      </w:pPr>
      <w:r>
        <w:rPr>
          <w:rFonts w:hint="eastAsia" w:ascii="仿宋" w:hAnsi="仿宋" w:eastAsia="仿宋" w:cs="仿宋"/>
          <w:b/>
          <w:bCs/>
          <w:color w:val="000000" w:themeColor="text1"/>
          <w:sz w:val="72"/>
          <w:szCs w:val="72"/>
          <w14:textFill>
            <w14:solidFill>
              <w14:schemeClr w14:val="tx1"/>
            </w14:solidFill>
          </w14:textFill>
        </w:rPr>
        <w:t>江南化工2021年度</w:t>
      </w:r>
    </w:p>
    <w:p>
      <w:pPr>
        <w:pStyle w:val="2"/>
        <w:spacing w:before="156" w:beforeLines="50" w:after="312" w:afterLines="100" w:line="480" w:lineRule="auto"/>
        <w:jc w:val="center"/>
        <w:rPr>
          <w:rFonts w:ascii="仿宋" w:hAnsi="仿宋" w:eastAsia="仿宋" w:cs="仿宋"/>
          <w:b/>
          <w:bCs/>
          <w:color w:val="000000" w:themeColor="text1"/>
          <w:kern w:val="2"/>
          <w:sz w:val="72"/>
          <w:szCs w:val="72"/>
          <w14:textFill>
            <w14:solidFill>
              <w14:schemeClr w14:val="tx1"/>
            </w14:solidFill>
          </w14:textFill>
        </w:rPr>
      </w:pPr>
      <w:r>
        <w:rPr>
          <w:rFonts w:hint="eastAsia" w:ascii="仿宋" w:hAnsi="仿宋" w:eastAsia="仿宋" w:cs="仿宋"/>
          <w:b/>
          <w:bCs/>
          <w:color w:val="000000" w:themeColor="text1"/>
          <w:kern w:val="2"/>
          <w:sz w:val="72"/>
          <w:szCs w:val="72"/>
          <w14:textFill>
            <w14:solidFill>
              <w14:schemeClr w14:val="tx1"/>
            </w14:solidFill>
          </w14:textFill>
        </w:rPr>
        <w:t>社会责任报告</w:t>
      </w:r>
    </w:p>
    <w:p>
      <w:pPr>
        <w:pStyle w:val="2"/>
        <w:spacing w:line="560" w:lineRule="exact"/>
        <w:ind w:firstLine="643" w:firstLineChars="200"/>
        <w:rPr>
          <w:rFonts w:ascii="仿宋" w:hAnsi="仿宋" w:eastAsia="仿宋" w:cs="仿宋"/>
          <w:b/>
          <w:bCs/>
          <w:color w:val="000000" w:themeColor="text1"/>
          <w:sz w:val="32"/>
          <w:szCs w:val="32"/>
          <w:lang w:bidi="ar"/>
          <w14:textFill>
            <w14:solidFill>
              <w14:schemeClr w14:val="tx1"/>
            </w14:solidFill>
          </w14:textFill>
        </w:rPr>
      </w:pPr>
    </w:p>
    <w:p>
      <w:pPr>
        <w:spacing w:line="560" w:lineRule="exact"/>
        <w:ind w:firstLine="643" w:firstLineChars="200"/>
        <w:rPr>
          <w:rFonts w:ascii="仿宋" w:hAnsi="仿宋" w:eastAsia="仿宋" w:cs="仿宋"/>
          <w:b/>
          <w:bCs/>
          <w:color w:val="000000" w:themeColor="text1"/>
          <w:kern w:val="0"/>
          <w:sz w:val="32"/>
          <w:szCs w:val="32"/>
          <w:lang w:bidi="ar"/>
          <w14:textFill>
            <w14:solidFill>
              <w14:schemeClr w14:val="tx1"/>
            </w14:solidFill>
          </w14:textFill>
        </w:rPr>
      </w:pPr>
    </w:p>
    <w:p>
      <w:pPr>
        <w:pStyle w:val="2"/>
        <w:spacing w:line="560" w:lineRule="exact"/>
        <w:ind w:firstLine="643" w:firstLineChars="200"/>
        <w:rPr>
          <w:rFonts w:ascii="仿宋" w:hAnsi="仿宋" w:eastAsia="仿宋" w:cs="仿宋"/>
          <w:b/>
          <w:bCs/>
          <w:color w:val="000000" w:themeColor="text1"/>
          <w:sz w:val="32"/>
          <w:szCs w:val="32"/>
          <w:lang w:bidi="ar"/>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pStyle w:val="2"/>
      </w:pPr>
    </w:p>
    <w:p>
      <w:pPr>
        <w:pStyle w:val="2"/>
      </w:pPr>
    </w:p>
    <w:p>
      <w:pPr>
        <w:pStyle w:val="2"/>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spacing w:line="560" w:lineRule="exact"/>
        <w:jc w:val="center"/>
        <w:rPr>
          <w:rFonts w:ascii="仿宋" w:hAnsi="仿宋" w:eastAsia="仿宋" w:cs="仿宋"/>
          <w:b/>
          <w:color w:val="000000" w:themeColor="text1"/>
          <w:sz w:val="36"/>
          <w:szCs w:val="36"/>
          <w14:textFill>
            <w14:solidFill>
              <w14:schemeClr w14:val="tx1"/>
            </w14:solidFill>
          </w14:textFill>
        </w:rPr>
      </w:pPr>
      <w:r>
        <w:rPr>
          <w:rFonts w:hint="eastAsia" w:ascii="仿宋" w:hAnsi="仿宋" w:eastAsia="仿宋" w:cs="仿宋"/>
          <w:b/>
          <w:color w:val="000000" w:themeColor="text1"/>
          <w:sz w:val="36"/>
          <w:szCs w:val="36"/>
          <w14:textFill>
            <w14:solidFill>
              <w14:schemeClr w14:val="tx1"/>
            </w14:solidFill>
          </w14:textFill>
        </w:rPr>
        <w:t>安徽江南化工股份有限公司</w:t>
      </w:r>
    </w:p>
    <w:p>
      <w:pPr>
        <w:pStyle w:val="2"/>
        <w:spacing w:line="560" w:lineRule="exact"/>
        <w:jc w:val="center"/>
        <w:rPr>
          <w:rFonts w:ascii="仿宋" w:hAnsi="仿宋" w:eastAsia="仿宋" w:cs="仿宋"/>
          <w:b/>
          <w:bCs/>
          <w:color w:val="000000" w:themeColor="text1"/>
          <w:sz w:val="32"/>
          <w:szCs w:val="32"/>
          <w:lang w:bidi="ar"/>
          <w14:textFill>
            <w14:solidFill>
              <w14:schemeClr w14:val="tx1"/>
            </w14:solidFill>
          </w14:textFill>
        </w:rPr>
      </w:pPr>
      <w:r>
        <w:rPr>
          <w:rFonts w:hint="eastAsia" w:ascii="仿宋" w:hAnsi="仿宋" w:eastAsia="仿宋" w:cs="仿宋"/>
          <w:b/>
          <w:color w:val="000000" w:themeColor="text1"/>
          <w:sz w:val="36"/>
          <w:szCs w:val="36"/>
          <w14:textFill>
            <w14:solidFill>
              <w14:schemeClr w14:val="tx1"/>
            </w14:solidFill>
          </w14:textFill>
        </w:rPr>
        <w:t>2022年3月</w:t>
      </w:r>
    </w:p>
    <w:p>
      <w:pPr>
        <w:pStyle w:val="27"/>
        <w:jc w:val="center"/>
        <w:rPr>
          <w:rFonts w:asciiTheme="minorHAnsi" w:hAnsiTheme="minorHAnsi" w:eastAsiaTheme="minorEastAsia" w:cstheme="minorBidi"/>
          <w:color w:val="auto"/>
          <w:kern w:val="2"/>
          <w:sz w:val="21"/>
          <w:szCs w:val="24"/>
          <w:lang w:val="zh-CN"/>
        </w:rPr>
        <w:sectPr>
          <w:pgSz w:w="11906" w:h="16838"/>
          <w:pgMar w:top="1440" w:right="1800" w:bottom="1440" w:left="1800" w:header="680" w:footer="992" w:gutter="0"/>
          <w:pgNumType w:start="1"/>
          <w:cols w:space="425" w:num="1"/>
          <w:docGrid w:type="lines" w:linePitch="312" w:charSpace="0"/>
        </w:sectPr>
      </w:pPr>
    </w:p>
    <w:sdt>
      <w:sdtPr>
        <w:rPr>
          <w:rFonts w:asciiTheme="minorHAnsi" w:hAnsiTheme="minorHAnsi" w:eastAsiaTheme="minorEastAsia" w:cstheme="minorBidi"/>
          <w:color w:val="auto"/>
          <w:kern w:val="2"/>
          <w:sz w:val="21"/>
          <w:szCs w:val="24"/>
          <w:lang w:val="zh-CN"/>
        </w:rPr>
        <w:id w:val="-495955971"/>
        <w:docPartObj>
          <w:docPartGallery w:val="Table of Contents"/>
          <w:docPartUnique/>
        </w:docPartObj>
      </w:sdtPr>
      <w:sdtEndPr>
        <w:rPr>
          <w:rFonts w:asciiTheme="minorHAnsi" w:hAnsiTheme="minorHAnsi" w:eastAsiaTheme="minorEastAsia" w:cstheme="minorBidi"/>
          <w:b/>
          <w:bCs/>
          <w:color w:val="auto"/>
          <w:kern w:val="2"/>
          <w:sz w:val="21"/>
          <w:szCs w:val="24"/>
          <w:lang w:val="zh-CN"/>
        </w:rPr>
      </w:sdtEndPr>
      <w:sdtContent>
        <w:p>
          <w:pPr>
            <w:pStyle w:val="27"/>
            <w:spacing w:before="0" w:line="360" w:lineRule="auto"/>
            <w:jc w:val="center"/>
            <w:rPr>
              <w:rFonts w:ascii="黑体" w:hAnsi="黑体" w:eastAsia="黑体"/>
              <w:b/>
              <w:bCs/>
              <w:color w:val="auto"/>
            </w:rPr>
          </w:pPr>
          <w:r>
            <w:rPr>
              <w:rFonts w:ascii="黑体" w:hAnsi="黑体" w:eastAsia="黑体"/>
              <w:b/>
              <w:bCs/>
              <w:color w:val="auto"/>
              <w:lang w:val="zh-CN"/>
            </w:rPr>
            <w:t>目</w:t>
          </w:r>
          <w:r>
            <w:rPr>
              <w:rFonts w:hint="eastAsia" w:ascii="黑体" w:hAnsi="黑体" w:eastAsia="黑体"/>
              <w:b/>
              <w:bCs/>
              <w:color w:val="auto"/>
              <w:lang w:val="zh-CN"/>
            </w:rPr>
            <w:t xml:space="preserve"> </w:t>
          </w:r>
          <w:r>
            <w:rPr>
              <w:rFonts w:ascii="黑体" w:hAnsi="黑体" w:eastAsia="黑体"/>
              <w:b/>
              <w:bCs/>
              <w:color w:val="auto"/>
              <w:lang w:val="zh-CN"/>
            </w:rPr>
            <w:t xml:space="preserve"> 录</w:t>
          </w:r>
        </w:p>
        <w:p>
          <w:pPr>
            <w:pStyle w:val="13"/>
            <w:spacing w:line="300" w:lineRule="auto"/>
            <w:rPr>
              <w:rFonts w:asciiTheme="minorHAnsi" w:hAnsiTheme="minorHAnsi" w:eastAsiaTheme="minorEastAsia" w:cstheme="minorBidi"/>
              <w:b w:val="0"/>
              <w:bCs w:val="0"/>
              <w:kern w:val="2"/>
              <w:sz w:val="24"/>
            </w:rPr>
          </w:pPr>
          <w:r>
            <w:rPr>
              <w:rFonts w:ascii="Times New Roman" w:hAnsi="Times New Roman"/>
            </w:rPr>
            <w:fldChar w:fldCharType="begin"/>
          </w:r>
          <w:r>
            <w:rPr>
              <w:rFonts w:ascii="Times New Roman" w:hAnsi="Times New Roman"/>
            </w:rPr>
            <w:instrText xml:space="preserve"> TOC \o "1-3" \h \z \u </w:instrText>
          </w:r>
          <w:r>
            <w:rPr>
              <w:rFonts w:ascii="Times New Roman" w:hAnsi="Times New Roman"/>
            </w:rPr>
            <w:fldChar w:fldCharType="separate"/>
          </w:r>
          <w:r>
            <w:fldChar w:fldCharType="begin"/>
          </w:r>
          <w:r>
            <w:instrText xml:space="preserve"> HYPERLINK \l "_Toc99373537" </w:instrText>
          </w:r>
          <w:r>
            <w:fldChar w:fldCharType="separate"/>
          </w:r>
          <w:r>
            <w:rPr>
              <w:rStyle w:val="20"/>
              <w:rFonts w:cs="黑体"/>
              <w:sz w:val="24"/>
              <w:lang w:bidi="ar"/>
            </w:rPr>
            <w:t>第一章 编制说明</w:t>
          </w:r>
          <w:r>
            <w:rPr>
              <w:sz w:val="24"/>
            </w:rPr>
            <w:tab/>
          </w:r>
          <w:r>
            <w:rPr>
              <w:sz w:val="24"/>
            </w:rPr>
            <w:fldChar w:fldCharType="begin"/>
          </w:r>
          <w:r>
            <w:rPr>
              <w:sz w:val="24"/>
            </w:rPr>
            <w:instrText xml:space="preserve"> PAGEREF _Toc99373537 \h </w:instrText>
          </w:r>
          <w:r>
            <w:rPr>
              <w:sz w:val="24"/>
            </w:rPr>
            <w:fldChar w:fldCharType="separate"/>
          </w:r>
          <w:r>
            <w:rPr>
              <w:sz w:val="24"/>
            </w:rPr>
            <w:t>4</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"_Toc99373538" </w:instrText>
          </w:r>
          <w:r>
            <w:fldChar w:fldCharType="separate"/>
          </w:r>
          <w:r>
            <w:rPr>
              <w:rStyle w:val="20"/>
              <w:rFonts w:cs="黑体"/>
              <w:sz w:val="24"/>
            </w:rPr>
            <w:t>第二章 高管致辞</w:t>
          </w:r>
          <w:r>
            <w:rPr>
              <w:sz w:val="24"/>
            </w:rPr>
            <w:tab/>
          </w:r>
          <w:r>
            <w:rPr>
              <w:sz w:val="24"/>
            </w:rPr>
            <w:fldChar w:fldCharType="begin"/>
          </w:r>
          <w:r>
            <w:rPr>
              <w:sz w:val="24"/>
            </w:rPr>
            <w:instrText xml:space="preserve"> PAGEREF _Toc99373538 \h </w:instrText>
          </w:r>
          <w:r>
            <w:rPr>
              <w:sz w:val="24"/>
            </w:rPr>
            <w:fldChar w:fldCharType="separate"/>
          </w:r>
          <w:r>
            <w:rPr>
              <w:sz w:val="24"/>
            </w:rPr>
            <w:t>5</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"_Toc99373539" </w:instrText>
          </w:r>
          <w:r>
            <w:fldChar w:fldCharType="separate"/>
          </w:r>
          <w:r>
            <w:rPr>
              <w:rStyle w:val="20"/>
              <w:rFonts w:cs="黑体"/>
              <w:sz w:val="24"/>
            </w:rPr>
            <w:t>第三章 公司简介</w:t>
          </w:r>
          <w:r>
            <w:rPr>
              <w:sz w:val="24"/>
            </w:rPr>
            <w:tab/>
          </w:r>
          <w:r>
            <w:rPr>
              <w:sz w:val="24"/>
            </w:rPr>
            <w:fldChar w:fldCharType="begin"/>
          </w:r>
          <w:r>
            <w:rPr>
              <w:sz w:val="24"/>
            </w:rPr>
            <w:instrText xml:space="preserve"> PAGEREF _Toc99373539 \h </w:instrText>
          </w:r>
          <w:r>
            <w:rPr>
              <w:sz w:val="24"/>
            </w:rPr>
            <w:fldChar w:fldCharType="separate"/>
          </w:r>
          <w:r>
            <w:rPr>
              <w:sz w:val="24"/>
            </w:rPr>
            <w:t>7</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"_Toc99373540" </w:instrText>
          </w:r>
          <w:r>
            <w:fldChar w:fldCharType="separate"/>
          </w:r>
          <w:r>
            <w:rPr>
              <w:rStyle w:val="20"/>
              <w:rFonts w:ascii="仿宋" w:hAnsi="仿宋" w:eastAsia="仿宋" w:cs="仿宋"/>
              <w:sz w:val="24"/>
            </w:rPr>
            <w:t>一、公司概况</w:t>
          </w:r>
          <w:r>
            <w:rPr>
              <w:sz w:val="24"/>
            </w:rPr>
            <w:tab/>
          </w:r>
          <w:r>
            <w:rPr>
              <w:sz w:val="24"/>
            </w:rPr>
            <w:fldChar w:fldCharType="begin"/>
          </w:r>
          <w:r>
            <w:rPr>
              <w:sz w:val="24"/>
            </w:rPr>
            <w:instrText xml:space="preserve"> PAGEREF _Toc99373540 \h </w:instrText>
          </w:r>
          <w:r>
            <w:rPr>
              <w:sz w:val="24"/>
            </w:rPr>
            <w:fldChar w:fldCharType="separate"/>
          </w:r>
          <w:r>
            <w:rPr>
              <w:sz w:val="24"/>
            </w:rPr>
            <w:t>7</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"_Toc99373541" </w:instrText>
          </w:r>
          <w:r>
            <w:fldChar w:fldCharType="separate"/>
          </w:r>
          <w:r>
            <w:rPr>
              <w:rStyle w:val="20"/>
              <w:rFonts w:ascii="仿宋" w:hAnsi="仿宋" w:eastAsia="仿宋" w:cs="仿宋"/>
              <w:sz w:val="24"/>
            </w:rPr>
            <w:t>二、 组织结构</w:t>
          </w:r>
          <w:r>
            <w:rPr>
              <w:sz w:val="24"/>
            </w:rPr>
            <w:tab/>
          </w:r>
          <w:r>
            <w:rPr>
              <w:sz w:val="24"/>
            </w:rPr>
            <w:fldChar w:fldCharType="begin"/>
          </w:r>
          <w:r>
            <w:rPr>
              <w:sz w:val="24"/>
            </w:rPr>
            <w:instrText xml:space="preserve"> PAGEREF _Toc99373541 \h </w:instrText>
          </w:r>
          <w:r>
            <w:rPr>
              <w:sz w:val="24"/>
            </w:rPr>
            <w:fldChar w:fldCharType="separate"/>
          </w:r>
          <w:r>
            <w:rPr>
              <w:sz w:val="24"/>
            </w:rPr>
            <w:t>9</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"_Toc99373542" </w:instrText>
          </w:r>
          <w:r>
            <w:fldChar w:fldCharType="separate"/>
          </w:r>
          <w:r>
            <w:rPr>
              <w:rStyle w:val="20"/>
              <w:rFonts w:ascii="仿宋" w:hAnsi="仿宋" w:eastAsia="仿宋" w:cs="仿宋"/>
              <w:sz w:val="24"/>
            </w:rPr>
            <w:t>三、联系方式</w:t>
          </w:r>
          <w:r>
            <w:rPr>
              <w:sz w:val="24"/>
            </w:rPr>
            <w:tab/>
          </w:r>
          <w:r>
            <w:rPr>
              <w:sz w:val="24"/>
            </w:rPr>
            <w:fldChar w:fldCharType="begin"/>
          </w:r>
          <w:r>
            <w:rPr>
              <w:sz w:val="24"/>
            </w:rPr>
            <w:instrText xml:space="preserve"> PAGEREF _Toc99373542 \h </w:instrText>
          </w:r>
          <w:r>
            <w:rPr>
              <w:sz w:val="24"/>
            </w:rPr>
            <w:fldChar w:fldCharType="separate"/>
          </w:r>
          <w:r>
            <w:rPr>
              <w:sz w:val="24"/>
            </w:rPr>
            <w:t>9</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"_Toc99373543" </w:instrText>
          </w:r>
          <w:r>
            <w:fldChar w:fldCharType="separate"/>
          </w:r>
          <w:r>
            <w:rPr>
              <w:rStyle w:val="20"/>
              <w:rFonts w:cs="黑体"/>
              <w:sz w:val="24"/>
            </w:rPr>
            <w:t>第四章 公司治理</w:t>
          </w:r>
          <w:r>
            <w:rPr>
              <w:sz w:val="24"/>
            </w:rPr>
            <w:tab/>
          </w:r>
          <w:r>
            <w:rPr>
              <w:sz w:val="24"/>
            </w:rPr>
            <w:fldChar w:fldCharType="begin"/>
          </w:r>
          <w:r>
            <w:rPr>
              <w:sz w:val="24"/>
            </w:rPr>
            <w:instrText xml:space="preserve"> PAGEREF _Toc99373543 \h </w:instrText>
          </w:r>
          <w:r>
            <w:rPr>
              <w:sz w:val="24"/>
            </w:rPr>
            <w:fldChar w:fldCharType="separate"/>
          </w:r>
          <w:r>
            <w:rPr>
              <w:sz w:val="24"/>
            </w:rPr>
            <w:t>10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"_Toc99373544" </w:instrText>
          </w:r>
          <w:r>
            <w:fldChar w:fldCharType="separate"/>
          </w:r>
          <w:r>
            <w:rPr>
              <w:rStyle w:val="20"/>
              <w:rFonts w:ascii="仿宋" w:hAnsi="仿宋" w:eastAsia="仿宋" w:cs="仿宋"/>
              <w:bCs/>
              <w:kern w:val="0"/>
              <w:sz w:val="24"/>
              <w:lang w:bidi="ar"/>
            </w:rPr>
            <w:t>一、</w:t>
          </w:r>
          <w:r>
            <w:rPr>
              <w:rStyle w:val="20"/>
              <w:rFonts w:ascii="仿宋" w:hAnsi="仿宋" w:eastAsia="仿宋" w:cs="仿宋"/>
              <w:sz w:val="24"/>
            </w:rPr>
            <w:t>利益相关识别方</w:t>
          </w:r>
          <w:r>
            <w:rPr>
              <w:sz w:val="24"/>
            </w:rPr>
            <w:tab/>
          </w:r>
          <w:r>
            <w:rPr>
              <w:sz w:val="24"/>
            </w:rPr>
            <w:fldChar w:fldCharType="begin"/>
          </w:r>
          <w:r>
            <w:rPr>
              <w:sz w:val="24"/>
            </w:rPr>
            <w:instrText xml:space="preserve"> PAGEREF _Toc99373544 \h </w:instrText>
          </w:r>
          <w:r>
            <w:rPr>
              <w:sz w:val="24"/>
            </w:rPr>
            <w:fldChar w:fldCharType="separate"/>
          </w:r>
          <w:r>
            <w:rPr>
              <w:sz w:val="24"/>
            </w:rPr>
            <w:t>10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"_Toc99373545" </w:instrText>
          </w:r>
          <w:r>
            <w:fldChar w:fldCharType="separate"/>
          </w:r>
          <w:r>
            <w:rPr>
              <w:rStyle w:val="20"/>
              <w:rFonts w:ascii="仿宋" w:hAnsi="仿宋" w:eastAsia="仿宋" w:cs="仿宋"/>
              <w:sz w:val="24"/>
            </w:rPr>
            <w:t>二、股东权益保障</w:t>
          </w:r>
          <w:r>
            <w:rPr>
              <w:sz w:val="24"/>
            </w:rPr>
            <w:tab/>
          </w:r>
          <w:r>
            <w:rPr>
              <w:sz w:val="24"/>
            </w:rPr>
            <w:fldChar w:fldCharType="begin"/>
          </w:r>
          <w:r>
            <w:rPr>
              <w:sz w:val="24"/>
            </w:rPr>
            <w:instrText xml:space="preserve"> PAGEREF _Toc99373545 \h </w:instrText>
          </w:r>
          <w:r>
            <w:rPr>
              <w:sz w:val="24"/>
            </w:rPr>
            <w:fldChar w:fldCharType="separate"/>
          </w:r>
          <w:r>
            <w:rPr>
              <w:sz w:val="24"/>
            </w:rPr>
            <w:t>11</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"_Toc99373546" </w:instrText>
          </w:r>
          <w:r>
            <w:fldChar w:fldCharType="separate"/>
          </w:r>
          <w:r>
            <w:rPr>
              <w:rStyle w:val="20"/>
              <w:rFonts w:ascii="仿宋" w:hAnsi="仿宋" w:eastAsia="仿宋" w:cs="仿宋"/>
              <w:sz w:val="24"/>
            </w:rPr>
            <w:t>（一）落实监管要求</w:t>
          </w:r>
          <w:r>
            <w:rPr>
              <w:sz w:val="24"/>
            </w:rPr>
            <w:tab/>
          </w:r>
          <w:r>
            <w:rPr>
              <w:sz w:val="24"/>
            </w:rPr>
            <w:fldChar w:fldCharType="begin"/>
          </w:r>
          <w:r>
            <w:rPr>
              <w:sz w:val="24"/>
            </w:rPr>
            <w:instrText xml:space="preserve"> PAGEREF _Toc99373546 \h </w:instrText>
          </w:r>
          <w:r>
            <w:rPr>
              <w:sz w:val="24"/>
            </w:rPr>
            <w:fldChar w:fldCharType="separate"/>
          </w:r>
          <w:r>
            <w:rPr>
              <w:sz w:val="24"/>
            </w:rPr>
            <w:t>11</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"_Toc99373547" </w:instrText>
          </w:r>
          <w:r>
            <w:fldChar w:fldCharType="separate"/>
          </w:r>
          <w:r>
            <w:rPr>
              <w:rStyle w:val="20"/>
              <w:rFonts w:ascii="仿宋" w:hAnsi="仿宋" w:eastAsia="仿宋" w:cs="仿宋"/>
              <w:sz w:val="24"/>
            </w:rPr>
            <w:t>（二）注重价值创造</w:t>
          </w:r>
          <w:r>
            <w:rPr>
              <w:sz w:val="24"/>
            </w:rPr>
            <w:tab/>
          </w:r>
          <w:r>
            <w:rPr>
              <w:sz w:val="24"/>
            </w:rPr>
            <w:fldChar w:fldCharType="begin"/>
          </w:r>
          <w:r>
            <w:rPr>
              <w:sz w:val="24"/>
            </w:rPr>
            <w:instrText xml:space="preserve"> PAGEREF _Toc99373547 \h </w:instrText>
          </w:r>
          <w:r>
            <w:rPr>
              <w:sz w:val="24"/>
            </w:rPr>
            <w:fldChar w:fldCharType="separate"/>
          </w:r>
          <w:r>
            <w:rPr>
              <w:sz w:val="24"/>
            </w:rPr>
            <w:t>12</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"_Toc99373548" </w:instrText>
          </w:r>
          <w:r>
            <w:fldChar w:fldCharType="separate"/>
          </w:r>
          <w:r>
            <w:rPr>
              <w:rStyle w:val="20"/>
              <w:rFonts w:ascii="仿宋" w:hAnsi="仿宋" w:eastAsia="仿宋" w:cs="仿宋"/>
              <w:sz w:val="24"/>
            </w:rPr>
            <w:t>（三）聚焦投资者合理回报</w:t>
          </w:r>
          <w:r>
            <w:rPr>
              <w:sz w:val="24"/>
            </w:rPr>
            <w:tab/>
          </w:r>
          <w:r>
            <w:rPr>
              <w:sz w:val="24"/>
            </w:rPr>
            <w:fldChar w:fldCharType="begin"/>
          </w:r>
          <w:r>
            <w:rPr>
              <w:sz w:val="24"/>
            </w:rPr>
            <w:instrText xml:space="preserve"> PAGEREF _Toc99373548 \h </w:instrText>
          </w:r>
          <w:r>
            <w:rPr>
              <w:sz w:val="24"/>
            </w:rPr>
            <w:fldChar w:fldCharType="separate"/>
          </w:r>
          <w:r>
            <w:rPr>
              <w:sz w:val="24"/>
            </w:rPr>
            <w:t>12</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"_Toc99373549" </w:instrText>
          </w:r>
          <w:r>
            <w:fldChar w:fldCharType="separate"/>
          </w:r>
          <w:r>
            <w:rPr>
              <w:rStyle w:val="20"/>
              <w:rFonts w:ascii="仿宋" w:hAnsi="仿宋" w:eastAsia="仿宋" w:cs="仿宋"/>
              <w:sz w:val="24"/>
            </w:rPr>
            <w:t>三、诚信经营</w:t>
          </w:r>
          <w:r>
            <w:rPr>
              <w:sz w:val="24"/>
            </w:rPr>
            <w:tab/>
          </w:r>
          <w:r>
            <w:rPr>
              <w:sz w:val="24"/>
            </w:rPr>
            <w:fldChar w:fldCharType="begin"/>
          </w:r>
          <w:r>
            <w:rPr>
              <w:sz w:val="24"/>
            </w:rPr>
            <w:instrText xml:space="preserve"> PAGEREF _Toc99373549 \h </w:instrText>
          </w:r>
          <w:r>
            <w:rPr>
              <w:sz w:val="24"/>
            </w:rPr>
            <w:fldChar w:fldCharType="separate"/>
          </w:r>
          <w:r>
            <w:rPr>
              <w:sz w:val="24"/>
            </w:rPr>
            <w:t>13</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"_Toc99373550" </w:instrText>
          </w:r>
          <w:r>
            <w:fldChar w:fldCharType="separate"/>
          </w:r>
          <w:r>
            <w:rPr>
              <w:rStyle w:val="20"/>
              <w:rFonts w:ascii="仿宋" w:hAnsi="仿宋" w:eastAsia="仿宋" w:cs="仿宋"/>
              <w:sz w:val="24"/>
            </w:rPr>
            <w:t>（一）守法合规体系</w:t>
          </w:r>
          <w:r>
            <w:rPr>
              <w:sz w:val="24"/>
            </w:rPr>
            <w:tab/>
          </w:r>
          <w:r>
            <w:rPr>
              <w:sz w:val="24"/>
            </w:rPr>
            <w:fldChar w:fldCharType="begin"/>
          </w:r>
          <w:r>
            <w:rPr>
              <w:sz w:val="24"/>
            </w:rPr>
            <w:instrText xml:space="preserve"> PAGEREF _Toc99373550 \h </w:instrText>
          </w:r>
          <w:r>
            <w:rPr>
              <w:sz w:val="24"/>
            </w:rPr>
            <w:fldChar w:fldCharType="separate"/>
          </w:r>
          <w:r>
            <w:rPr>
              <w:sz w:val="24"/>
            </w:rPr>
            <w:t>13</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"_Toc99373551" </w:instrText>
          </w:r>
          <w:r>
            <w:fldChar w:fldCharType="separate"/>
          </w:r>
          <w:r>
            <w:rPr>
              <w:rStyle w:val="20"/>
              <w:rFonts w:ascii="仿宋" w:hAnsi="仿宋" w:eastAsia="仿宋" w:cs="仿宋"/>
              <w:sz w:val="24"/>
            </w:rPr>
            <w:t>（二）党建及党风廉政建设</w:t>
          </w:r>
          <w:r>
            <w:rPr>
              <w:sz w:val="24"/>
            </w:rPr>
            <w:tab/>
          </w:r>
          <w:r>
            <w:rPr>
              <w:sz w:val="24"/>
            </w:rPr>
            <w:fldChar w:fldCharType="begin"/>
          </w:r>
          <w:r>
            <w:rPr>
              <w:sz w:val="24"/>
            </w:rPr>
            <w:instrText xml:space="preserve"> PAGEREF _Toc99373551 \h </w:instrText>
          </w:r>
          <w:r>
            <w:rPr>
              <w:sz w:val="24"/>
            </w:rPr>
            <w:fldChar w:fldCharType="separate"/>
          </w:r>
          <w:r>
            <w:rPr>
              <w:sz w:val="24"/>
            </w:rPr>
            <w:t>13</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"_Toc99373552" </w:instrText>
          </w:r>
          <w:r>
            <w:fldChar w:fldCharType="separate"/>
          </w:r>
          <w:r>
            <w:rPr>
              <w:rStyle w:val="20"/>
              <w:rFonts w:cs="黑体"/>
              <w:sz w:val="24"/>
            </w:rPr>
            <w:t>第五章 人员管理</w:t>
          </w:r>
          <w:r>
            <w:rPr>
              <w:sz w:val="24"/>
            </w:rPr>
            <w:tab/>
          </w:r>
          <w:r>
            <w:rPr>
              <w:sz w:val="24"/>
            </w:rPr>
            <w:fldChar w:fldCharType="begin"/>
          </w:r>
          <w:r>
            <w:rPr>
              <w:sz w:val="24"/>
            </w:rPr>
            <w:instrText xml:space="preserve"> PAGEREF _Toc99373552 \h </w:instrText>
          </w:r>
          <w:r>
            <w:rPr>
              <w:sz w:val="24"/>
            </w:rPr>
            <w:fldChar w:fldCharType="separate"/>
          </w:r>
          <w:r>
            <w:rPr>
              <w:sz w:val="24"/>
            </w:rPr>
            <w:t>18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"_Toc99373553" </w:instrText>
          </w:r>
          <w:r>
            <w:fldChar w:fldCharType="separate"/>
          </w:r>
          <w:r>
            <w:rPr>
              <w:rStyle w:val="20"/>
              <w:rFonts w:ascii="仿宋" w:hAnsi="仿宋" w:eastAsia="仿宋" w:cs="仿宋"/>
              <w:sz w:val="24"/>
            </w:rPr>
            <w:t>一、保护员工权益</w:t>
          </w:r>
          <w:r>
            <w:rPr>
              <w:sz w:val="24"/>
            </w:rPr>
            <w:tab/>
          </w:r>
          <w:r>
            <w:rPr>
              <w:sz w:val="24"/>
            </w:rPr>
            <w:fldChar w:fldCharType="begin"/>
          </w:r>
          <w:r>
            <w:rPr>
              <w:sz w:val="24"/>
            </w:rPr>
            <w:instrText xml:space="preserve"> PAGEREF _Toc99373553 \h </w:instrText>
          </w:r>
          <w:r>
            <w:rPr>
              <w:sz w:val="24"/>
            </w:rPr>
            <w:fldChar w:fldCharType="separate"/>
          </w:r>
          <w:r>
            <w:rPr>
              <w:sz w:val="24"/>
            </w:rPr>
            <w:t>18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"_Toc99373554" </w:instrText>
          </w:r>
          <w:r>
            <w:fldChar w:fldCharType="separate"/>
          </w:r>
          <w:r>
            <w:rPr>
              <w:rStyle w:val="20"/>
              <w:rFonts w:ascii="仿宋" w:hAnsi="仿宋" w:eastAsia="仿宋" w:cs="仿宋"/>
              <w:sz w:val="24"/>
            </w:rPr>
            <w:t>二、职业健康与安全</w:t>
          </w:r>
          <w:r>
            <w:rPr>
              <w:sz w:val="24"/>
            </w:rPr>
            <w:tab/>
          </w:r>
          <w:r>
            <w:rPr>
              <w:sz w:val="24"/>
            </w:rPr>
            <w:fldChar w:fldCharType="begin"/>
          </w:r>
          <w:r>
            <w:rPr>
              <w:sz w:val="24"/>
            </w:rPr>
            <w:instrText xml:space="preserve"> PAGEREF _Toc99373554 \h </w:instrText>
          </w:r>
          <w:r>
            <w:rPr>
              <w:sz w:val="24"/>
            </w:rPr>
            <w:fldChar w:fldCharType="separate"/>
          </w:r>
          <w:r>
            <w:rPr>
              <w:sz w:val="24"/>
            </w:rPr>
            <w:t>18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"_Toc99373555" </w:instrText>
          </w:r>
          <w:r>
            <w:fldChar w:fldCharType="separate"/>
          </w:r>
          <w:r>
            <w:rPr>
              <w:rStyle w:val="20"/>
              <w:rFonts w:ascii="仿宋" w:hAnsi="仿宋" w:eastAsia="仿宋" w:cs="仿宋"/>
              <w:sz w:val="24"/>
            </w:rPr>
            <w:t>（一）职业病防治体系</w:t>
          </w:r>
          <w:r>
            <w:rPr>
              <w:sz w:val="24"/>
            </w:rPr>
            <w:tab/>
          </w:r>
          <w:r>
            <w:rPr>
              <w:sz w:val="24"/>
            </w:rPr>
            <w:fldChar w:fldCharType="begin"/>
          </w:r>
          <w:r>
            <w:rPr>
              <w:sz w:val="24"/>
            </w:rPr>
            <w:instrText xml:space="preserve"> PAGEREF _Toc99373555 \h </w:instrText>
          </w:r>
          <w:r>
            <w:rPr>
              <w:sz w:val="24"/>
            </w:rPr>
            <w:fldChar w:fldCharType="separate"/>
          </w:r>
          <w:r>
            <w:rPr>
              <w:sz w:val="24"/>
            </w:rPr>
            <w:t>18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"_Toc99373556" </w:instrText>
          </w:r>
          <w:r>
            <w:fldChar w:fldCharType="separate"/>
          </w:r>
          <w:r>
            <w:rPr>
              <w:rStyle w:val="20"/>
              <w:rFonts w:ascii="仿宋" w:hAnsi="仿宋" w:eastAsia="仿宋" w:cs="仿宋"/>
              <w:sz w:val="24"/>
            </w:rPr>
            <w:t>（二）2021年职业病防治重点措施</w:t>
          </w:r>
          <w:r>
            <w:rPr>
              <w:sz w:val="24"/>
            </w:rPr>
            <w:tab/>
          </w:r>
          <w:r>
            <w:rPr>
              <w:sz w:val="24"/>
            </w:rPr>
            <w:fldChar w:fldCharType="begin"/>
          </w:r>
          <w:r>
            <w:rPr>
              <w:sz w:val="24"/>
            </w:rPr>
            <w:instrText xml:space="preserve"> PAGEREF _Toc99373556 \h </w:instrText>
          </w:r>
          <w:r>
            <w:rPr>
              <w:sz w:val="24"/>
            </w:rPr>
            <w:fldChar w:fldCharType="separate"/>
          </w:r>
          <w:r>
            <w:rPr>
              <w:sz w:val="24"/>
            </w:rPr>
            <w:t>19</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"_Toc99373557" </w:instrText>
          </w:r>
          <w:r>
            <w:fldChar w:fldCharType="separate"/>
          </w:r>
          <w:r>
            <w:rPr>
              <w:rStyle w:val="20"/>
              <w:rFonts w:ascii="仿宋" w:hAnsi="仿宋" w:eastAsia="仿宋" w:cs="仿宋"/>
              <w:sz w:val="24"/>
            </w:rPr>
            <w:t>（三）职业健康安全培训</w:t>
          </w:r>
          <w:r>
            <w:rPr>
              <w:sz w:val="24"/>
            </w:rPr>
            <w:tab/>
          </w:r>
          <w:r>
            <w:rPr>
              <w:sz w:val="24"/>
            </w:rPr>
            <w:fldChar w:fldCharType="begin"/>
          </w:r>
          <w:r>
            <w:rPr>
              <w:sz w:val="24"/>
            </w:rPr>
            <w:instrText xml:space="preserve"> PAGEREF _Toc99373557 \h </w:instrText>
          </w:r>
          <w:r>
            <w:rPr>
              <w:sz w:val="24"/>
            </w:rPr>
            <w:fldChar w:fldCharType="separate"/>
          </w:r>
          <w:r>
            <w:rPr>
              <w:sz w:val="24"/>
            </w:rPr>
            <w:t>20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"_Toc99373558" </w:instrText>
          </w:r>
          <w:r>
            <w:fldChar w:fldCharType="separate"/>
          </w:r>
          <w:r>
            <w:rPr>
              <w:rStyle w:val="20"/>
              <w:rFonts w:ascii="仿宋" w:hAnsi="仿宋" w:eastAsia="仿宋" w:cs="仿宋"/>
              <w:sz w:val="24"/>
            </w:rPr>
            <w:t>三、员工发展与关爱</w:t>
          </w:r>
          <w:r>
            <w:rPr>
              <w:sz w:val="24"/>
            </w:rPr>
            <w:tab/>
          </w:r>
          <w:r>
            <w:rPr>
              <w:sz w:val="24"/>
            </w:rPr>
            <w:fldChar w:fldCharType="begin"/>
          </w:r>
          <w:r>
            <w:rPr>
              <w:sz w:val="24"/>
            </w:rPr>
            <w:instrText xml:space="preserve"> PAGEREF _Toc99373558 \h </w:instrText>
          </w:r>
          <w:r>
            <w:rPr>
              <w:sz w:val="24"/>
            </w:rPr>
            <w:fldChar w:fldCharType="separate"/>
          </w:r>
          <w:r>
            <w:rPr>
              <w:sz w:val="24"/>
            </w:rPr>
            <w:t>20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"_Toc99373559" </w:instrText>
          </w:r>
          <w:r>
            <w:fldChar w:fldCharType="separate"/>
          </w:r>
          <w:r>
            <w:rPr>
              <w:rStyle w:val="20"/>
              <w:rFonts w:ascii="仿宋" w:hAnsi="仿宋" w:eastAsia="仿宋" w:cs="仿宋"/>
              <w:sz w:val="24"/>
            </w:rPr>
            <w:t>（一）员工职业发展通道</w:t>
          </w:r>
          <w:r>
            <w:rPr>
              <w:sz w:val="24"/>
            </w:rPr>
            <w:tab/>
          </w:r>
          <w:r>
            <w:rPr>
              <w:sz w:val="24"/>
            </w:rPr>
            <w:fldChar w:fldCharType="begin"/>
          </w:r>
          <w:r>
            <w:rPr>
              <w:sz w:val="24"/>
            </w:rPr>
            <w:instrText xml:space="preserve"> PAGEREF _Toc99373559 \h </w:instrText>
          </w:r>
          <w:r>
            <w:rPr>
              <w:sz w:val="24"/>
            </w:rPr>
            <w:fldChar w:fldCharType="separate"/>
          </w:r>
          <w:r>
            <w:rPr>
              <w:sz w:val="24"/>
            </w:rPr>
            <w:t>20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"_Toc99373560" </w:instrText>
          </w:r>
          <w:r>
            <w:fldChar w:fldCharType="separate"/>
          </w:r>
          <w:r>
            <w:rPr>
              <w:rStyle w:val="20"/>
              <w:rFonts w:ascii="仿宋" w:hAnsi="仿宋" w:eastAsia="仿宋" w:cs="仿宋"/>
              <w:sz w:val="24"/>
            </w:rPr>
            <w:t>（二）员工培训及素质提升</w:t>
          </w:r>
          <w:r>
            <w:rPr>
              <w:sz w:val="24"/>
            </w:rPr>
            <w:tab/>
          </w:r>
          <w:r>
            <w:rPr>
              <w:sz w:val="24"/>
            </w:rPr>
            <w:fldChar w:fldCharType="begin"/>
          </w:r>
          <w:r>
            <w:rPr>
              <w:sz w:val="24"/>
            </w:rPr>
            <w:instrText xml:space="preserve"> PAGEREF _Toc99373560 \h </w:instrText>
          </w:r>
          <w:r>
            <w:rPr>
              <w:sz w:val="24"/>
            </w:rPr>
            <w:fldChar w:fldCharType="separate"/>
          </w:r>
          <w:r>
            <w:rPr>
              <w:sz w:val="24"/>
            </w:rPr>
            <w:t>21</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"_Toc99373561" </w:instrText>
          </w:r>
          <w:r>
            <w:fldChar w:fldCharType="separate"/>
          </w:r>
          <w:r>
            <w:rPr>
              <w:rStyle w:val="20"/>
              <w:rFonts w:ascii="仿宋" w:hAnsi="仿宋" w:eastAsia="仿宋" w:cs="仿宋"/>
              <w:sz w:val="24"/>
            </w:rPr>
            <w:t>（三）丰富员工生活</w:t>
          </w:r>
          <w:r>
            <w:rPr>
              <w:sz w:val="24"/>
            </w:rPr>
            <w:tab/>
          </w:r>
          <w:r>
            <w:rPr>
              <w:sz w:val="24"/>
            </w:rPr>
            <w:fldChar w:fldCharType="begin"/>
          </w:r>
          <w:r>
            <w:rPr>
              <w:sz w:val="24"/>
            </w:rPr>
            <w:instrText xml:space="preserve"> PAGEREF _Toc99373561 \h </w:instrText>
          </w:r>
          <w:r>
            <w:rPr>
              <w:sz w:val="24"/>
            </w:rPr>
            <w:fldChar w:fldCharType="separate"/>
          </w:r>
          <w:r>
            <w:rPr>
              <w:sz w:val="24"/>
            </w:rPr>
            <w:t>22</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"_Toc99373562" </w:instrText>
          </w:r>
          <w:r>
            <w:fldChar w:fldCharType="separate"/>
          </w:r>
          <w:r>
            <w:rPr>
              <w:rStyle w:val="20"/>
              <w:rFonts w:eastAsia="仿宋"/>
              <w:sz w:val="24"/>
            </w:rPr>
            <w:t>马鞍山公司开展职工运动会</w:t>
          </w:r>
          <w:r>
            <w:rPr>
              <w:sz w:val="24"/>
            </w:rPr>
            <w:tab/>
          </w:r>
          <w:r>
            <w:rPr>
              <w:sz w:val="24"/>
            </w:rPr>
            <w:fldChar w:fldCharType="begin"/>
          </w:r>
          <w:r>
            <w:rPr>
              <w:sz w:val="24"/>
            </w:rPr>
            <w:instrText xml:space="preserve"> PAGEREF _Toc99373562 \h </w:instrText>
          </w:r>
          <w:r>
            <w:rPr>
              <w:sz w:val="24"/>
            </w:rPr>
            <w:fldChar w:fldCharType="separate"/>
          </w:r>
          <w:r>
            <w:rPr>
              <w:sz w:val="24"/>
            </w:rPr>
            <w:t>24</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"_Toc99373563" </w:instrText>
          </w:r>
          <w:r>
            <w:fldChar w:fldCharType="separate"/>
          </w:r>
          <w:r>
            <w:rPr>
              <w:rStyle w:val="20"/>
              <w:rFonts w:ascii="仿宋" w:hAnsi="仿宋" w:eastAsia="仿宋" w:cs="仿宋"/>
              <w:sz w:val="24"/>
            </w:rPr>
            <w:t>（四）困难员工帮扶</w:t>
          </w:r>
          <w:r>
            <w:rPr>
              <w:sz w:val="24"/>
            </w:rPr>
            <w:tab/>
          </w:r>
          <w:r>
            <w:rPr>
              <w:sz w:val="24"/>
            </w:rPr>
            <w:fldChar w:fldCharType="begin"/>
          </w:r>
          <w:r>
            <w:rPr>
              <w:sz w:val="24"/>
            </w:rPr>
            <w:instrText xml:space="preserve"> PAGEREF _Toc99373563 \h </w:instrText>
          </w:r>
          <w:r>
            <w:rPr>
              <w:sz w:val="24"/>
            </w:rPr>
            <w:fldChar w:fldCharType="separate"/>
          </w:r>
          <w:r>
            <w:rPr>
              <w:sz w:val="24"/>
            </w:rPr>
            <w:t>24</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"_Toc99373564" </w:instrText>
          </w:r>
          <w:r>
            <w:fldChar w:fldCharType="separate"/>
          </w:r>
          <w:r>
            <w:rPr>
              <w:rStyle w:val="20"/>
              <w:rFonts w:ascii="仿宋" w:hAnsi="仿宋" w:eastAsia="仿宋" w:cs="仿宋"/>
              <w:sz w:val="24"/>
            </w:rPr>
            <w:t>（五）基层员工慰问</w:t>
          </w:r>
          <w:r>
            <w:rPr>
              <w:sz w:val="24"/>
            </w:rPr>
            <w:tab/>
          </w:r>
          <w:r>
            <w:rPr>
              <w:sz w:val="24"/>
            </w:rPr>
            <w:fldChar w:fldCharType="begin"/>
          </w:r>
          <w:r>
            <w:rPr>
              <w:sz w:val="24"/>
            </w:rPr>
            <w:instrText xml:space="preserve"> PAGEREF _Toc99373564 \h </w:instrText>
          </w:r>
          <w:r>
            <w:rPr>
              <w:sz w:val="24"/>
            </w:rPr>
            <w:fldChar w:fldCharType="separate"/>
          </w:r>
          <w:r>
            <w:rPr>
              <w:sz w:val="24"/>
            </w:rPr>
            <w:t>26</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"_Toc99373565" </w:instrText>
          </w:r>
          <w:r>
            <w:fldChar w:fldCharType="separate"/>
          </w:r>
          <w:r>
            <w:rPr>
              <w:rStyle w:val="20"/>
              <w:rFonts w:cs="黑体"/>
              <w:sz w:val="24"/>
            </w:rPr>
            <w:t>第六章 安全管理</w:t>
          </w:r>
          <w:r>
            <w:rPr>
              <w:sz w:val="24"/>
            </w:rPr>
            <w:tab/>
          </w:r>
          <w:r>
            <w:rPr>
              <w:sz w:val="24"/>
            </w:rPr>
            <w:fldChar w:fldCharType="begin"/>
          </w:r>
          <w:r>
            <w:rPr>
              <w:sz w:val="24"/>
            </w:rPr>
            <w:instrText xml:space="preserve"> PAGEREF _Toc99373565 \h </w:instrText>
          </w:r>
          <w:r>
            <w:rPr>
              <w:sz w:val="24"/>
            </w:rPr>
            <w:fldChar w:fldCharType="separate"/>
          </w:r>
          <w:r>
            <w:rPr>
              <w:sz w:val="24"/>
            </w:rPr>
            <w:t>28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"_Toc99373566" </w:instrText>
          </w:r>
          <w:r>
            <w:fldChar w:fldCharType="separate"/>
          </w:r>
          <w:r>
            <w:rPr>
              <w:rStyle w:val="20"/>
              <w:rFonts w:ascii="仿宋" w:hAnsi="仿宋" w:eastAsia="仿宋" w:cs="仿宋"/>
              <w:sz w:val="24"/>
            </w:rPr>
            <w:t>一、落实企业安全生产主体责任</w:t>
          </w:r>
          <w:r>
            <w:rPr>
              <w:sz w:val="24"/>
            </w:rPr>
            <w:tab/>
          </w:r>
          <w:r>
            <w:rPr>
              <w:sz w:val="24"/>
            </w:rPr>
            <w:fldChar w:fldCharType="begin"/>
          </w:r>
          <w:r>
            <w:rPr>
              <w:sz w:val="24"/>
            </w:rPr>
            <w:instrText xml:space="preserve"> PAGEREF _Toc99373566 \h </w:instrText>
          </w:r>
          <w:r>
            <w:rPr>
              <w:sz w:val="24"/>
            </w:rPr>
            <w:fldChar w:fldCharType="separate"/>
          </w:r>
          <w:r>
            <w:rPr>
              <w:sz w:val="24"/>
            </w:rPr>
            <w:t>28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"_Toc99373567" </w:instrText>
          </w:r>
          <w:r>
            <w:fldChar w:fldCharType="separate"/>
          </w:r>
          <w:r>
            <w:rPr>
              <w:rStyle w:val="20"/>
              <w:rFonts w:ascii="仿宋" w:hAnsi="仿宋" w:eastAsia="仿宋" w:cs="仿宋"/>
              <w:sz w:val="24"/>
            </w:rPr>
            <w:t>二、</w:t>
          </w:r>
          <w:r>
            <w:rPr>
              <w:rStyle w:val="20"/>
              <w:rFonts w:ascii="仿宋" w:hAnsi="仿宋" w:eastAsia="仿宋" w:cs="仿宋"/>
              <w:sz w:val="24"/>
              <w:lang w:val="en"/>
            </w:rPr>
            <w:t>优化调整产能</w:t>
          </w:r>
          <w:r>
            <w:rPr>
              <w:rStyle w:val="20"/>
              <w:rFonts w:ascii="仿宋" w:hAnsi="仿宋" w:eastAsia="仿宋" w:cs="仿宋"/>
              <w:sz w:val="24"/>
            </w:rPr>
            <w:t>布局</w:t>
          </w:r>
          <w:r>
            <w:rPr>
              <w:sz w:val="24"/>
            </w:rPr>
            <w:tab/>
          </w:r>
          <w:r>
            <w:rPr>
              <w:sz w:val="24"/>
            </w:rPr>
            <w:fldChar w:fldCharType="begin"/>
          </w:r>
          <w:r>
            <w:rPr>
              <w:sz w:val="24"/>
            </w:rPr>
            <w:instrText xml:space="preserve"> PAGEREF _Toc99373567 \h </w:instrText>
          </w:r>
          <w:r>
            <w:rPr>
              <w:sz w:val="24"/>
            </w:rPr>
            <w:fldChar w:fldCharType="separate"/>
          </w:r>
          <w:r>
            <w:rPr>
              <w:sz w:val="24"/>
            </w:rPr>
            <w:t>29</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"_Toc99373568" </w:instrText>
          </w:r>
          <w:r>
            <w:fldChar w:fldCharType="separate"/>
          </w:r>
          <w:r>
            <w:rPr>
              <w:rStyle w:val="20"/>
              <w:rFonts w:ascii="仿宋" w:hAnsi="仿宋" w:eastAsia="仿宋" w:cs="仿宋"/>
              <w:sz w:val="24"/>
            </w:rPr>
            <w:t>三、</w:t>
          </w:r>
          <w:r>
            <w:rPr>
              <w:rStyle w:val="20"/>
              <w:rFonts w:ascii="仿宋" w:hAnsi="仿宋" w:eastAsia="仿宋" w:cs="仿宋"/>
              <w:bCs/>
              <w:sz w:val="24"/>
            </w:rPr>
            <w:t>科技创新驱动安全发展</w:t>
          </w:r>
          <w:r>
            <w:rPr>
              <w:sz w:val="24"/>
            </w:rPr>
            <w:tab/>
          </w:r>
          <w:r>
            <w:rPr>
              <w:sz w:val="24"/>
            </w:rPr>
            <w:fldChar w:fldCharType="begin"/>
          </w:r>
          <w:r>
            <w:rPr>
              <w:sz w:val="24"/>
            </w:rPr>
            <w:instrText xml:space="preserve"> PAGEREF _Toc99373568 \h </w:instrText>
          </w:r>
          <w:r>
            <w:rPr>
              <w:sz w:val="24"/>
            </w:rPr>
            <w:fldChar w:fldCharType="separate"/>
          </w:r>
          <w:r>
            <w:rPr>
              <w:sz w:val="24"/>
            </w:rPr>
            <w:t>29</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"_Toc99373569" </w:instrText>
          </w:r>
          <w:r>
            <w:fldChar w:fldCharType="separate"/>
          </w:r>
          <w:r>
            <w:rPr>
              <w:rStyle w:val="20"/>
              <w:rFonts w:ascii="仿宋" w:hAnsi="仿宋" w:eastAsia="仿宋" w:cs="仿宋"/>
              <w:sz w:val="24"/>
            </w:rPr>
            <w:t>四、提升安全体系化和标准化建设</w:t>
          </w:r>
          <w:r>
            <w:rPr>
              <w:sz w:val="24"/>
            </w:rPr>
            <w:tab/>
          </w:r>
          <w:r>
            <w:rPr>
              <w:sz w:val="24"/>
            </w:rPr>
            <w:fldChar w:fldCharType="begin"/>
          </w:r>
          <w:r>
            <w:rPr>
              <w:sz w:val="24"/>
            </w:rPr>
            <w:instrText xml:space="preserve"> PAGEREF _Toc99373569 \h </w:instrText>
          </w:r>
          <w:r>
            <w:rPr>
              <w:sz w:val="24"/>
            </w:rPr>
            <w:fldChar w:fldCharType="separate"/>
          </w:r>
          <w:r>
            <w:rPr>
              <w:sz w:val="24"/>
            </w:rPr>
            <w:t>30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"_Toc99373570" </w:instrText>
          </w:r>
          <w:r>
            <w:fldChar w:fldCharType="separate"/>
          </w:r>
          <w:r>
            <w:rPr>
              <w:rStyle w:val="20"/>
              <w:rFonts w:ascii="仿宋" w:hAnsi="仿宋" w:eastAsia="仿宋" w:cs="仿宋"/>
              <w:bCs/>
              <w:kern w:val="0"/>
              <w:sz w:val="24"/>
              <w:lang w:bidi="ar"/>
            </w:rPr>
            <w:t>五、加强安全监督检查</w:t>
          </w:r>
          <w:r>
            <w:rPr>
              <w:sz w:val="24"/>
            </w:rPr>
            <w:tab/>
          </w:r>
          <w:r>
            <w:rPr>
              <w:sz w:val="24"/>
            </w:rPr>
            <w:fldChar w:fldCharType="begin"/>
          </w:r>
          <w:r>
            <w:rPr>
              <w:sz w:val="24"/>
            </w:rPr>
            <w:instrText xml:space="preserve"> PAGEREF _Toc99373570 \h </w:instrText>
          </w:r>
          <w:r>
            <w:rPr>
              <w:sz w:val="24"/>
            </w:rPr>
            <w:fldChar w:fldCharType="separate"/>
          </w:r>
          <w:r>
            <w:rPr>
              <w:sz w:val="24"/>
            </w:rPr>
            <w:t>31</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"_Toc99373571" </w:instrText>
          </w:r>
          <w:r>
            <w:fldChar w:fldCharType="separate"/>
          </w:r>
          <w:r>
            <w:rPr>
              <w:rStyle w:val="20"/>
              <w:rFonts w:ascii="仿宋" w:hAnsi="仿宋" w:eastAsia="仿宋" w:cs="仿宋"/>
              <w:sz w:val="24"/>
            </w:rPr>
            <w:t>六、深化安全教育培训</w:t>
          </w:r>
          <w:r>
            <w:rPr>
              <w:sz w:val="24"/>
            </w:rPr>
            <w:tab/>
          </w:r>
          <w:r>
            <w:rPr>
              <w:sz w:val="24"/>
            </w:rPr>
            <w:fldChar w:fldCharType="begin"/>
          </w:r>
          <w:r>
            <w:rPr>
              <w:sz w:val="24"/>
            </w:rPr>
            <w:instrText xml:space="preserve"> PAGEREF _Toc99373571 \h </w:instrText>
          </w:r>
          <w:r>
            <w:rPr>
              <w:sz w:val="24"/>
            </w:rPr>
            <w:fldChar w:fldCharType="separate"/>
          </w:r>
          <w:r>
            <w:rPr>
              <w:sz w:val="24"/>
            </w:rPr>
            <w:t>33</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"_Toc99373572" </w:instrText>
          </w:r>
          <w:r>
            <w:fldChar w:fldCharType="separate"/>
          </w:r>
          <w:r>
            <w:rPr>
              <w:rStyle w:val="20"/>
              <w:rFonts w:cs="黑体"/>
              <w:sz w:val="24"/>
            </w:rPr>
            <w:t>第七章 环境管理</w:t>
          </w:r>
          <w:r>
            <w:rPr>
              <w:sz w:val="24"/>
            </w:rPr>
            <w:tab/>
          </w:r>
          <w:r>
            <w:rPr>
              <w:sz w:val="24"/>
            </w:rPr>
            <w:fldChar w:fldCharType="begin"/>
          </w:r>
          <w:r>
            <w:rPr>
              <w:sz w:val="24"/>
            </w:rPr>
            <w:instrText xml:space="preserve"> PAGEREF _Toc99373572 \h </w:instrText>
          </w:r>
          <w:r>
            <w:rPr>
              <w:sz w:val="24"/>
            </w:rPr>
            <w:fldChar w:fldCharType="separate"/>
          </w:r>
          <w:r>
            <w:rPr>
              <w:sz w:val="24"/>
            </w:rPr>
            <w:t>36</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"_Toc99373573" </w:instrText>
          </w:r>
          <w:r>
            <w:fldChar w:fldCharType="separate"/>
          </w:r>
          <w:r>
            <w:rPr>
              <w:rStyle w:val="20"/>
              <w:rFonts w:ascii="仿宋" w:hAnsi="仿宋" w:eastAsia="仿宋" w:cs="仿宋"/>
              <w:sz w:val="24"/>
            </w:rPr>
            <w:t>一、绿色经营</w:t>
          </w:r>
          <w:r>
            <w:rPr>
              <w:sz w:val="24"/>
            </w:rPr>
            <w:tab/>
          </w:r>
          <w:r>
            <w:rPr>
              <w:sz w:val="24"/>
            </w:rPr>
            <w:fldChar w:fldCharType="begin"/>
          </w:r>
          <w:r>
            <w:rPr>
              <w:sz w:val="24"/>
            </w:rPr>
            <w:instrText xml:space="preserve"> PAGEREF _Toc99373573 \h </w:instrText>
          </w:r>
          <w:r>
            <w:rPr>
              <w:sz w:val="24"/>
            </w:rPr>
            <w:fldChar w:fldCharType="separate"/>
          </w:r>
          <w:r>
            <w:rPr>
              <w:sz w:val="24"/>
            </w:rPr>
            <w:t>36</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"_Toc99373574" </w:instrText>
          </w:r>
          <w:r>
            <w:fldChar w:fldCharType="separate"/>
          </w:r>
          <w:r>
            <w:rPr>
              <w:rStyle w:val="20"/>
              <w:rFonts w:ascii="仿宋" w:hAnsi="仿宋" w:eastAsia="仿宋" w:cs="仿宋"/>
              <w:sz w:val="24"/>
            </w:rPr>
            <w:t>（一）环境管理体系</w:t>
          </w:r>
          <w:r>
            <w:rPr>
              <w:sz w:val="24"/>
            </w:rPr>
            <w:tab/>
          </w:r>
          <w:r>
            <w:rPr>
              <w:sz w:val="24"/>
            </w:rPr>
            <w:fldChar w:fldCharType="begin"/>
          </w:r>
          <w:r>
            <w:rPr>
              <w:sz w:val="24"/>
            </w:rPr>
            <w:instrText xml:space="preserve"> PAGEREF _Toc99373574 \h </w:instrText>
          </w:r>
          <w:r>
            <w:rPr>
              <w:sz w:val="24"/>
            </w:rPr>
            <w:fldChar w:fldCharType="separate"/>
          </w:r>
          <w:r>
            <w:rPr>
              <w:sz w:val="24"/>
            </w:rPr>
            <w:t>36</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"_Toc99373575" </w:instrText>
          </w:r>
          <w:r>
            <w:fldChar w:fldCharType="separate"/>
          </w:r>
          <w:r>
            <w:rPr>
              <w:rStyle w:val="20"/>
              <w:rFonts w:ascii="仿宋" w:hAnsi="仿宋" w:eastAsia="仿宋" w:cs="仿宋"/>
              <w:sz w:val="24"/>
            </w:rPr>
            <w:t>（二）环保预警及应急机制</w:t>
          </w:r>
          <w:r>
            <w:rPr>
              <w:sz w:val="24"/>
            </w:rPr>
            <w:tab/>
          </w:r>
          <w:r>
            <w:rPr>
              <w:sz w:val="24"/>
            </w:rPr>
            <w:fldChar w:fldCharType="begin"/>
          </w:r>
          <w:r>
            <w:rPr>
              <w:sz w:val="24"/>
            </w:rPr>
            <w:instrText xml:space="preserve"> PAGEREF _Toc99373575 \h </w:instrText>
          </w:r>
          <w:r>
            <w:rPr>
              <w:sz w:val="24"/>
            </w:rPr>
            <w:fldChar w:fldCharType="separate"/>
          </w:r>
          <w:r>
            <w:rPr>
              <w:sz w:val="24"/>
            </w:rPr>
            <w:t>37</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"_Toc99373576" </w:instrText>
          </w:r>
          <w:r>
            <w:fldChar w:fldCharType="separate"/>
          </w:r>
          <w:r>
            <w:rPr>
              <w:rStyle w:val="20"/>
              <w:rFonts w:ascii="仿宋" w:hAnsi="仿宋" w:eastAsia="仿宋" w:cs="仿宋"/>
              <w:sz w:val="24"/>
            </w:rPr>
            <w:t>（三）企业环境风险隐患管理</w:t>
          </w:r>
          <w:r>
            <w:rPr>
              <w:sz w:val="24"/>
            </w:rPr>
            <w:tab/>
          </w:r>
          <w:r>
            <w:rPr>
              <w:sz w:val="24"/>
            </w:rPr>
            <w:fldChar w:fldCharType="begin"/>
          </w:r>
          <w:r>
            <w:rPr>
              <w:sz w:val="24"/>
            </w:rPr>
            <w:instrText xml:space="preserve"> PAGEREF _Toc99373576 \h </w:instrText>
          </w:r>
          <w:r>
            <w:rPr>
              <w:sz w:val="24"/>
            </w:rPr>
            <w:fldChar w:fldCharType="separate"/>
          </w:r>
          <w:r>
            <w:rPr>
              <w:sz w:val="24"/>
            </w:rPr>
            <w:t>37</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"_Toc99373577" </w:instrText>
          </w:r>
          <w:r>
            <w:fldChar w:fldCharType="separate"/>
          </w:r>
          <w:r>
            <w:rPr>
              <w:rStyle w:val="20"/>
              <w:rFonts w:ascii="仿宋" w:hAnsi="仿宋" w:eastAsia="仿宋" w:cs="仿宋"/>
              <w:sz w:val="24"/>
            </w:rPr>
            <w:t>（四）环保培训与教育</w:t>
          </w:r>
          <w:r>
            <w:rPr>
              <w:sz w:val="24"/>
            </w:rPr>
            <w:tab/>
          </w:r>
          <w:r>
            <w:rPr>
              <w:sz w:val="24"/>
            </w:rPr>
            <w:fldChar w:fldCharType="begin"/>
          </w:r>
          <w:r>
            <w:rPr>
              <w:sz w:val="24"/>
            </w:rPr>
            <w:instrText xml:space="preserve"> PAGEREF _Toc99373577 \h </w:instrText>
          </w:r>
          <w:r>
            <w:rPr>
              <w:sz w:val="24"/>
            </w:rPr>
            <w:fldChar w:fldCharType="separate"/>
          </w:r>
          <w:r>
            <w:rPr>
              <w:sz w:val="24"/>
            </w:rPr>
            <w:t>38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"_Toc99373578" </w:instrText>
          </w:r>
          <w:r>
            <w:fldChar w:fldCharType="separate"/>
          </w:r>
          <w:r>
            <w:rPr>
              <w:rStyle w:val="20"/>
              <w:rFonts w:ascii="仿宋" w:hAnsi="仿宋" w:eastAsia="仿宋" w:cs="仿宋"/>
              <w:sz w:val="24"/>
            </w:rPr>
            <w:t>二、绿色工厂</w:t>
          </w:r>
          <w:r>
            <w:rPr>
              <w:sz w:val="24"/>
            </w:rPr>
            <w:tab/>
          </w:r>
          <w:r>
            <w:rPr>
              <w:sz w:val="24"/>
            </w:rPr>
            <w:fldChar w:fldCharType="begin"/>
          </w:r>
          <w:r>
            <w:rPr>
              <w:sz w:val="24"/>
            </w:rPr>
            <w:instrText xml:space="preserve"> PAGEREF _Toc99373578 \h </w:instrText>
          </w:r>
          <w:r>
            <w:rPr>
              <w:sz w:val="24"/>
            </w:rPr>
            <w:fldChar w:fldCharType="separate"/>
          </w:r>
          <w:r>
            <w:rPr>
              <w:sz w:val="24"/>
            </w:rPr>
            <w:t>39</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"_Toc99373579" </w:instrText>
          </w:r>
          <w:r>
            <w:fldChar w:fldCharType="separate"/>
          </w:r>
          <w:r>
            <w:rPr>
              <w:rStyle w:val="20"/>
              <w:rFonts w:ascii="仿宋" w:hAnsi="仿宋" w:eastAsia="仿宋" w:cs="仿宋"/>
              <w:sz w:val="24"/>
            </w:rPr>
            <w:t>（一）绿色工厂建设</w:t>
          </w:r>
          <w:r>
            <w:rPr>
              <w:sz w:val="24"/>
            </w:rPr>
            <w:tab/>
          </w:r>
          <w:r>
            <w:rPr>
              <w:sz w:val="24"/>
            </w:rPr>
            <w:fldChar w:fldCharType="begin"/>
          </w:r>
          <w:r>
            <w:rPr>
              <w:sz w:val="24"/>
            </w:rPr>
            <w:instrText xml:space="preserve"> PAGEREF _Toc99373579 \h </w:instrText>
          </w:r>
          <w:r>
            <w:rPr>
              <w:sz w:val="24"/>
            </w:rPr>
            <w:fldChar w:fldCharType="separate"/>
          </w:r>
          <w:r>
            <w:rPr>
              <w:sz w:val="24"/>
            </w:rPr>
            <w:t>39</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"_Toc99373580" </w:instrText>
          </w:r>
          <w:r>
            <w:fldChar w:fldCharType="separate"/>
          </w:r>
          <w:r>
            <w:rPr>
              <w:rStyle w:val="20"/>
              <w:rFonts w:ascii="仿宋" w:hAnsi="仿宋" w:eastAsia="仿宋" w:cs="仿宋"/>
              <w:sz w:val="24"/>
            </w:rPr>
            <w:t>（二）绿色办公措施</w:t>
          </w:r>
          <w:r>
            <w:rPr>
              <w:sz w:val="24"/>
            </w:rPr>
            <w:tab/>
          </w:r>
          <w:r>
            <w:rPr>
              <w:sz w:val="24"/>
            </w:rPr>
            <w:fldChar w:fldCharType="begin"/>
          </w:r>
          <w:r>
            <w:rPr>
              <w:sz w:val="24"/>
            </w:rPr>
            <w:instrText xml:space="preserve"> PAGEREF _Toc99373580 \h </w:instrText>
          </w:r>
          <w:r>
            <w:rPr>
              <w:sz w:val="24"/>
            </w:rPr>
            <w:fldChar w:fldCharType="separate"/>
          </w:r>
          <w:r>
            <w:rPr>
              <w:sz w:val="24"/>
            </w:rPr>
            <w:t>40</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"_Toc99373581" </w:instrText>
          </w:r>
          <w:r>
            <w:fldChar w:fldCharType="separate"/>
          </w:r>
          <w:r>
            <w:rPr>
              <w:rStyle w:val="20"/>
              <w:rFonts w:ascii="仿宋" w:hAnsi="仿宋" w:eastAsia="仿宋" w:cs="仿宋"/>
              <w:sz w:val="24"/>
            </w:rPr>
            <w:t>（三）能源管理体系</w:t>
          </w:r>
          <w:r>
            <w:rPr>
              <w:sz w:val="24"/>
            </w:rPr>
            <w:tab/>
          </w:r>
          <w:r>
            <w:rPr>
              <w:sz w:val="24"/>
            </w:rPr>
            <w:fldChar w:fldCharType="begin"/>
          </w:r>
          <w:r>
            <w:rPr>
              <w:sz w:val="24"/>
            </w:rPr>
            <w:instrText xml:space="preserve"> PAGEREF _Toc99373581 \h </w:instrText>
          </w:r>
          <w:r>
            <w:rPr>
              <w:sz w:val="24"/>
            </w:rPr>
            <w:fldChar w:fldCharType="separate"/>
          </w:r>
          <w:r>
            <w:rPr>
              <w:sz w:val="24"/>
            </w:rPr>
            <w:t>40</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"_Toc99373582" </w:instrText>
          </w:r>
          <w:r>
            <w:fldChar w:fldCharType="separate"/>
          </w:r>
          <w:r>
            <w:rPr>
              <w:rStyle w:val="20"/>
              <w:rFonts w:ascii="仿宋" w:hAnsi="仿宋" w:eastAsia="仿宋" w:cs="仿宋"/>
              <w:sz w:val="24"/>
            </w:rPr>
            <w:t>（四）节能政策措施</w:t>
          </w:r>
          <w:r>
            <w:rPr>
              <w:sz w:val="24"/>
            </w:rPr>
            <w:tab/>
          </w:r>
          <w:r>
            <w:rPr>
              <w:sz w:val="24"/>
            </w:rPr>
            <w:fldChar w:fldCharType="begin"/>
          </w:r>
          <w:r>
            <w:rPr>
              <w:sz w:val="24"/>
            </w:rPr>
            <w:instrText xml:space="preserve"> PAGEREF _Toc99373582 \h </w:instrText>
          </w:r>
          <w:r>
            <w:rPr>
              <w:sz w:val="24"/>
            </w:rPr>
            <w:fldChar w:fldCharType="separate"/>
          </w:r>
          <w:r>
            <w:rPr>
              <w:sz w:val="24"/>
            </w:rPr>
            <w:t>41</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"_Toc99373583" </w:instrText>
          </w:r>
          <w:r>
            <w:fldChar w:fldCharType="separate"/>
          </w:r>
          <w:r>
            <w:rPr>
              <w:rStyle w:val="20"/>
              <w:rFonts w:ascii="仿宋" w:hAnsi="仿宋" w:eastAsia="仿宋" w:cs="仿宋"/>
              <w:sz w:val="24"/>
            </w:rPr>
            <w:t>（五）能源目标完成情况</w:t>
          </w:r>
          <w:r>
            <w:rPr>
              <w:sz w:val="24"/>
            </w:rPr>
            <w:tab/>
          </w:r>
          <w:r>
            <w:rPr>
              <w:sz w:val="24"/>
            </w:rPr>
            <w:fldChar w:fldCharType="begin"/>
          </w:r>
          <w:r>
            <w:rPr>
              <w:sz w:val="24"/>
            </w:rPr>
            <w:instrText xml:space="preserve"> PAGEREF _Toc99373583 \h </w:instrText>
          </w:r>
          <w:r>
            <w:rPr>
              <w:sz w:val="24"/>
            </w:rPr>
            <w:fldChar w:fldCharType="separate"/>
          </w:r>
          <w:r>
            <w:rPr>
              <w:sz w:val="24"/>
            </w:rPr>
            <w:t>42</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"_Toc99373584" </w:instrText>
          </w:r>
          <w:r>
            <w:fldChar w:fldCharType="separate"/>
          </w:r>
          <w:r>
            <w:rPr>
              <w:rStyle w:val="20"/>
              <w:rFonts w:ascii="仿宋" w:hAnsi="仿宋" w:eastAsia="仿宋" w:cs="仿宋"/>
              <w:sz w:val="24"/>
            </w:rPr>
            <w:t>（六）实施清洁生产的政策措施</w:t>
          </w:r>
          <w:r>
            <w:rPr>
              <w:sz w:val="24"/>
            </w:rPr>
            <w:tab/>
          </w:r>
          <w:r>
            <w:rPr>
              <w:sz w:val="24"/>
            </w:rPr>
            <w:fldChar w:fldCharType="begin"/>
          </w:r>
          <w:r>
            <w:rPr>
              <w:sz w:val="24"/>
            </w:rPr>
            <w:instrText xml:space="preserve"> PAGEREF _Toc99373584 \h </w:instrText>
          </w:r>
          <w:r>
            <w:rPr>
              <w:sz w:val="24"/>
            </w:rPr>
            <w:fldChar w:fldCharType="separate"/>
          </w:r>
          <w:r>
            <w:rPr>
              <w:sz w:val="24"/>
            </w:rPr>
            <w:t>43</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"_Toc99373585" </w:instrText>
          </w:r>
          <w:r>
            <w:fldChar w:fldCharType="separate"/>
          </w:r>
          <w:r>
            <w:rPr>
              <w:rStyle w:val="20"/>
              <w:rFonts w:cs="黑体"/>
              <w:sz w:val="24"/>
            </w:rPr>
            <w:t>第八章 社会责任</w:t>
          </w:r>
          <w:r>
            <w:rPr>
              <w:sz w:val="24"/>
            </w:rPr>
            <w:tab/>
          </w:r>
          <w:r>
            <w:rPr>
              <w:sz w:val="24"/>
            </w:rPr>
            <w:fldChar w:fldCharType="begin"/>
          </w:r>
          <w:r>
            <w:rPr>
              <w:sz w:val="24"/>
            </w:rPr>
            <w:instrText xml:space="preserve"> PAGEREF _Toc99373585 \h </w:instrText>
          </w:r>
          <w:r>
            <w:rPr>
              <w:sz w:val="24"/>
            </w:rPr>
            <w:fldChar w:fldCharType="separate"/>
          </w:r>
          <w:r>
            <w:rPr>
              <w:sz w:val="24"/>
            </w:rPr>
            <w:t>44</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"_Toc99373586" </w:instrText>
          </w:r>
          <w:r>
            <w:fldChar w:fldCharType="separate"/>
          </w:r>
          <w:r>
            <w:rPr>
              <w:rStyle w:val="20"/>
              <w:rFonts w:ascii="仿宋" w:hAnsi="仿宋" w:eastAsia="仿宋" w:cs="仿宋"/>
              <w:sz w:val="24"/>
            </w:rPr>
            <w:t>一、 创新引领发展</w:t>
          </w:r>
          <w:r>
            <w:rPr>
              <w:sz w:val="24"/>
            </w:rPr>
            <w:tab/>
          </w:r>
          <w:r>
            <w:rPr>
              <w:sz w:val="24"/>
            </w:rPr>
            <w:fldChar w:fldCharType="begin"/>
          </w:r>
          <w:r>
            <w:rPr>
              <w:sz w:val="24"/>
            </w:rPr>
            <w:instrText xml:space="preserve"> PAGEREF _Toc99373586 \h </w:instrText>
          </w:r>
          <w:r>
            <w:rPr>
              <w:sz w:val="24"/>
            </w:rPr>
            <w:fldChar w:fldCharType="separate"/>
          </w:r>
          <w:r>
            <w:rPr>
              <w:sz w:val="24"/>
            </w:rPr>
            <w:t>44</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"_Toc99373587" </w:instrText>
          </w:r>
          <w:r>
            <w:fldChar w:fldCharType="separate"/>
          </w:r>
          <w:r>
            <w:rPr>
              <w:rStyle w:val="20"/>
              <w:rFonts w:ascii="仿宋" w:hAnsi="仿宋" w:eastAsia="仿宋" w:cs="仿宋"/>
              <w:sz w:val="24"/>
            </w:rPr>
            <w:t>二、保障产品质量</w:t>
          </w:r>
          <w:r>
            <w:rPr>
              <w:sz w:val="24"/>
            </w:rPr>
            <w:tab/>
          </w:r>
          <w:r>
            <w:rPr>
              <w:sz w:val="24"/>
            </w:rPr>
            <w:fldChar w:fldCharType="begin"/>
          </w:r>
          <w:r>
            <w:rPr>
              <w:sz w:val="24"/>
            </w:rPr>
            <w:instrText xml:space="preserve"> PAGEREF _Toc99373587 \h </w:instrText>
          </w:r>
          <w:r>
            <w:rPr>
              <w:sz w:val="24"/>
            </w:rPr>
            <w:fldChar w:fldCharType="separate"/>
          </w:r>
          <w:r>
            <w:rPr>
              <w:sz w:val="24"/>
            </w:rPr>
            <w:t>45</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"_Toc99373588" </w:instrText>
          </w:r>
          <w:r>
            <w:fldChar w:fldCharType="separate"/>
          </w:r>
          <w:r>
            <w:rPr>
              <w:rStyle w:val="20"/>
              <w:rFonts w:ascii="仿宋" w:hAnsi="仿宋" w:eastAsia="仿宋" w:cs="仿宋"/>
              <w:sz w:val="24"/>
            </w:rPr>
            <w:t>三、建设绿色矿山</w:t>
          </w:r>
          <w:r>
            <w:rPr>
              <w:sz w:val="24"/>
            </w:rPr>
            <w:tab/>
          </w:r>
          <w:r>
            <w:rPr>
              <w:sz w:val="24"/>
            </w:rPr>
            <w:fldChar w:fldCharType="begin"/>
          </w:r>
          <w:r>
            <w:rPr>
              <w:sz w:val="24"/>
            </w:rPr>
            <w:instrText xml:space="preserve"> PAGEREF _Toc99373588 \h </w:instrText>
          </w:r>
          <w:r>
            <w:rPr>
              <w:sz w:val="24"/>
            </w:rPr>
            <w:fldChar w:fldCharType="separate"/>
          </w:r>
          <w:r>
            <w:rPr>
              <w:sz w:val="24"/>
            </w:rPr>
            <w:t>45</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"_Toc99373589" </w:instrText>
          </w:r>
          <w:r>
            <w:fldChar w:fldCharType="separate"/>
          </w:r>
          <w:r>
            <w:rPr>
              <w:rStyle w:val="20"/>
              <w:rFonts w:ascii="仿宋" w:hAnsi="仿宋" w:eastAsia="仿宋" w:cs="仿宋"/>
              <w:sz w:val="24"/>
            </w:rPr>
            <w:t>四、加强疫情防控</w:t>
          </w:r>
          <w:r>
            <w:rPr>
              <w:sz w:val="24"/>
            </w:rPr>
            <w:tab/>
          </w:r>
          <w:r>
            <w:rPr>
              <w:sz w:val="24"/>
            </w:rPr>
            <w:fldChar w:fldCharType="begin"/>
          </w:r>
          <w:r>
            <w:rPr>
              <w:sz w:val="24"/>
            </w:rPr>
            <w:instrText xml:space="preserve"> PAGEREF _Toc99373589 \h </w:instrText>
          </w:r>
          <w:r>
            <w:rPr>
              <w:sz w:val="24"/>
            </w:rPr>
            <w:fldChar w:fldCharType="separate"/>
          </w:r>
          <w:r>
            <w:rPr>
              <w:sz w:val="24"/>
            </w:rPr>
            <w:t>47</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"_Toc99373590" </w:instrText>
          </w:r>
          <w:r>
            <w:fldChar w:fldCharType="separate"/>
          </w:r>
          <w:r>
            <w:rPr>
              <w:rStyle w:val="20"/>
              <w:rFonts w:ascii="仿宋" w:hAnsi="仿宋" w:eastAsia="仿宋" w:cs="仿宋"/>
              <w:sz w:val="24"/>
            </w:rPr>
            <w:t>五、实施精准帮扶</w:t>
          </w:r>
          <w:r>
            <w:rPr>
              <w:sz w:val="24"/>
            </w:rPr>
            <w:tab/>
          </w:r>
          <w:r>
            <w:rPr>
              <w:sz w:val="24"/>
            </w:rPr>
            <w:fldChar w:fldCharType="begin"/>
          </w:r>
          <w:r>
            <w:rPr>
              <w:sz w:val="24"/>
            </w:rPr>
            <w:instrText xml:space="preserve"> PAGEREF _Toc99373590 \h </w:instrText>
          </w:r>
          <w:r>
            <w:rPr>
              <w:sz w:val="24"/>
            </w:rPr>
            <w:fldChar w:fldCharType="separate"/>
          </w:r>
          <w:r>
            <w:rPr>
              <w:sz w:val="24"/>
            </w:rPr>
            <w:t>48</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"_Toc99373591" </w:instrText>
          </w:r>
          <w:r>
            <w:fldChar w:fldCharType="separate"/>
          </w:r>
          <w:r>
            <w:rPr>
              <w:rStyle w:val="20"/>
              <w:rFonts w:ascii="仿宋" w:hAnsi="仿宋" w:eastAsia="仿宋" w:cs="仿宋"/>
              <w:sz w:val="24"/>
            </w:rPr>
            <w:t>六、维护社会安全</w:t>
          </w:r>
          <w:r>
            <w:rPr>
              <w:sz w:val="24"/>
            </w:rPr>
            <w:tab/>
          </w:r>
          <w:r>
            <w:rPr>
              <w:sz w:val="24"/>
            </w:rPr>
            <w:fldChar w:fldCharType="begin"/>
          </w:r>
          <w:r>
            <w:rPr>
              <w:sz w:val="24"/>
            </w:rPr>
            <w:instrText xml:space="preserve"> PAGEREF _Toc99373591 \h </w:instrText>
          </w:r>
          <w:r>
            <w:rPr>
              <w:sz w:val="24"/>
            </w:rPr>
            <w:fldChar w:fldCharType="separate"/>
          </w:r>
          <w:r>
            <w:rPr>
              <w:sz w:val="24"/>
            </w:rPr>
            <w:t>49</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"_Toc99373592" </w:instrText>
          </w:r>
          <w:r>
            <w:fldChar w:fldCharType="separate"/>
          </w:r>
          <w:r>
            <w:rPr>
              <w:rStyle w:val="20"/>
              <w:rFonts w:ascii="仿宋" w:hAnsi="仿宋" w:eastAsia="仿宋" w:cs="仿宋"/>
              <w:sz w:val="24"/>
            </w:rPr>
            <w:t>七、积极促进就业</w:t>
          </w:r>
          <w:r>
            <w:rPr>
              <w:sz w:val="24"/>
            </w:rPr>
            <w:tab/>
          </w:r>
          <w:r>
            <w:rPr>
              <w:sz w:val="24"/>
            </w:rPr>
            <w:fldChar w:fldCharType="begin"/>
          </w:r>
          <w:r>
            <w:rPr>
              <w:sz w:val="24"/>
            </w:rPr>
            <w:instrText xml:space="preserve"> PAGEREF _Toc99373592 \h </w:instrText>
          </w:r>
          <w:r>
            <w:rPr>
              <w:sz w:val="24"/>
            </w:rPr>
            <w:fldChar w:fldCharType="separate"/>
          </w:r>
          <w:r>
            <w:rPr>
              <w:sz w:val="24"/>
            </w:rPr>
            <w:t>50</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"_Toc99373593" </w:instrText>
          </w:r>
          <w:r>
            <w:fldChar w:fldCharType="separate"/>
          </w:r>
          <w:r>
            <w:rPr>
              <w:rStyle w:val="20"/>
              <w:rFonts w:ascii="仿宋" w:hAnsi="仿宋" w:eastAsia="仿宋" w:cs="仿宋"/>
              <w:sz w:val="24"/>
            </w:rPr>
            <w:t>八、员工志愿者活动</w:t>
          </w:r>
          <w:r>
            <w:rPr>
              <w:sz w:val="24"/>
            </w:rPr>
            <w:tab/>
          </w:r>
          <w:r>
            <w:rPr>
              <w:sz w:val="24"/>
            </w:rPr>
            <w:fldChar w:fldCharType="begin"/>
          </w:r>
          <w:r>
            <w:rPr>
              <w:sz w:val="24"/>
            </w:rPr>
            <w:instrText xml:space="preserve"> PAGEREF _Toc99373593 \h </w:instrText>
          </w:r>
          <w:r>
            <w:rPr>
              <w:sz w:val="24"/>
            </w:rPr>
            <w:fldChar w:fldCharType="separate"/>
          </w:r>
          <w:r>
            <w:rPr>
              <w:sz w:val="24"/>
            </w:rPr>
            <w:t>51</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"_Toc99373594" </w:instrText>
          </w:r>
          <w:r>
            <w:fldChar w:fldCharType="separate"/>
          </w:r>
          <w:r>
            <w:rPr>
              <w:rStyle w:val="20"/>
              <w:rFonts w:ascii="仿宋" w:hAnsi="仿宋" w:eastAsia="仿宋" w:cs="仿宋"/>
              <w:sz w:val="24"/>
            </w:rPr>
            <w:t>九、年度责任荣誉</w:t>
          </w:r>
          <w:r>
            <w:rPr>
              <w:sz w:val="24"/>
            </w:rPr>
            <w:tab/>
          </w:r>
          <w:r>
            <w:rPr>
              <w:sz w:val="24"/>
            </w:rPr>
            <w:fldChar w:fldCharType="begin"/>
          </w:r>
          <w:r>
            <w:rPr>
              <w:sz w:val="24"/>
            </w:rPr>
            <w:instrText xml:space="preserve"> PAGEREF _Toc99373594 \h </w:instrText>
          </w:r>
          <w:r>
            <w:rPr>
              <w:sz w:val="24"/>
            </w:rPr>
            <w:fldChar w:fldCharType="separate"/>
          </w:r>
          <w:r>
            <w:rPr>
              <w:sz w:val="24"/>
            </w:rPr>
            <w:t>52</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"_Toc99373595" </w:instrText>
          </w:r>
          <w:r>
            <w:fldChar w:fldCharType="separate"/>
          </w:r>
          <w:r>
            <w:rPr>
              <w:rStyle w:val="20"/>
              <w:rFonts w:cs="黑体"/>
              <w:sz w:val="24"/>
            </w:rPr>
            <w:t>第九章 展望</w:t>
          </w:r>
          <w:r>
            <w:rPr>
              <w:sz w:val="24"/>
            </w:rPr>
            <w:tab/>
          </w:r>
          <w:r>
            <w:rPr>
              <w:sz w:val="24"/>
            </w:rPr>
            <w:fldChar w:fldCharType="begin"/>
          </w:r>
          <w:r>
            <w:rPr>
              <w:sz w:val="24"/>
            </w:rPr>
            <w:instrText xml:space="preserve"> PAGEREF _Toc99373595 \h </w:instrText>
          </w:r>
          <w:r>
            <w:rPr>
              <w:sz w:val="24"/>
            </w:rPr>
            <w:fldChar w:fldCharType="separate"/>
          </w:r>
          <w:r>
            <w:rPr>
              <w:sz w:val="24"/>
            </w:rPr>
            <w:t>53</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"_Toc99373596" </w:instrText>
          </w:r>
          <w:r>
            <w:fldChar w:fldCharType="separate"/>
          </w:r>
          <w:r>
            <w:rPr>
              <w:rStyle w:val="20"/>
              <w:rFonts w:ascii="仿宋" w:hAnsi="仿宋" w:eastAsia="仿宋" w:cs="仿宋"/>
              <w:sz w:val="24"/>
            </w:rPr>
            <w:t>一、公司发展战略</w:t>
          </w:r>
          <w:r>
            <w:rPr>
              <w:sz w:val="24"/>
            </w:rPr>
            <w:tab/>
          </w:r>
          <w:r>
            <w:rPr>
              <w:sz w:val="24"/>
            </w:rPr>
            <w:fldChar w:fldCharType="begin"/>
          </w:r>
          <w:r>
            <w:rPr>
              <w:sz w:val="24"/>
            </w:rPr>
            <w:instrText xml:space="preserve"> PAGEREF _Toc99373596 \h </w:instrText>
          </w:r>
          <w:r>
            <w:rPr>
              <w:sz w:val="24"/>
            </w:rPr>
            <w:fldChar w:fldCharType="separate"/>
          </w:r>
          <w:r>
            <w:rPr>
              <w:sz w:val="24"/>
            </w:rPr>
            <w:t>53</w:t>
          </w:r>
          <w:r>
            <w:rPr>
              <w:sz w:val="24"/>
            </w:rPr>
            <w:fldChar w:fldCharType="end"/>
          </w:r>
          <w:r>
            <w:rPr>
              <w:sz w:val="24"/>
            </w:rPr>
            <w:fldChar w:fldCharType="end"/>
          </w:r>
        </w:p>
        <w:p>
          <w:pPr>
            <w:pStyle w:val="14"/>
            <w:tabs>
              <w:tab w:val="right" w:leader="dot" w:pos="8296"/>
            </w:tabs>
            <w:spacing w:line="300" w:lineRule="auto"/>
            <w:rPr>
              <w:sz w:val="24"/>
            </w:rPr>
          </w:pPr>
          <w:r>
            <w:fldChar w:fldCharType="begin"/>
          </w:r>
          <w:r>
            <w:instrText xml:space="preserve"> HYPERLINK \l "_Toc99373597" </w:instrText>
          </w:r>
          <w:r>
            <w:fldChar w:fldCharType="separate"/>
          </w:r>
          <w:r>
            <w:rPr>
              <w:rStyle w:val="20"/>
              <w:rFonts w:ascii="仿宋" w:hAnsi="仿宋" w:eastAsia="仿宋" w:cs="仿宋"/>
              <w:sz w:val="24"/>
            </w:rPr>
            <w:t>二、2022年总体经营策略和思路</w:t>
          </w:r>
          <w:r>
            <w:rPr>
              <w:sz w:val="24"/>
            </w:rPr>
            <w:tab/>
          </w:r>
          <w:r>
            <w:rPr>
              <w:sz w:val="24"/>
            </w:rPr>
            <w:fldChar w:fldCharType="begin"/>
          </w:r>
          <w:r>
            <w:rPr>
              <w:sz w:val="24"/>
            </w:rPr>
            <w:instrText xml:space="preserve"> PAGEREF _Toc99373597 \h </w:instrText>
          </w:r>
          <w:r>
            <w:rPr>
              <w:sz w:val="24"/>
            </w:rPr>
            <w:fldChar w:fldCharType="separate"/>
          </w:r>
          <w:r>
            <w:rPr>
              <w:sz w:val="24"/>
            </w:rPr>
            <w:t>53</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"_Toc99373598" </w:instrText>
          </w:r>
          <w:r>
            <w:fldChar w:fldCharType="separate"/>
          </w:r>
          <w:r>
            <w:rPr>
              <w:rStyle w:val="20"/>
              <w:rFonts w:ascii="仿宋" w:hAnsi="仿宋" w:eastAsia="仿宋" w:cs="仿宋"/>
              <w:sz w:val="24"/>
            </w:rPr>
            <w:t>（一）聚焦延伸产业链，开展多种形式“一体化”服务模式</w:t>
          </w:r>
          <w:r>
            <w:rPr>
              <w:sz w:val="24"/>
            </w:rPr>
            <w:tab/>
          </w:r>
          <w:r>
            <w:rPr>
              <w:sz w:val="24"/>
            </w:rPr>
            <w:fldChar w:fldCharType="begin"/>
          </w:r>
          <w:r>
            <w:rPr>
              <w:sz w:val="24"/>
            </w:rPr>
            <w:instrText xml:space="preserve"> PAGEREF _Toc99373598 \h </w:instrText>
          </w:r>
          <w:r>
            <w:rPr>
              <w:sz w:val="24"/>
            </w:rPr>
            <w:fldChar w:fldCharType="separate"/>
          </w:r>
          <w:r>
            <w:rPr>
              <w:sz w:val="24"/>
            </w:rPr>
            <w:t>54</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"_Toc99373599" </w:instrText>
          </w:r>
          <w:r>
            <w:fldChar w:fldCharType="separate"/>
          </w:r>
          <w:r>
            <w:rPr>
              <w:rStyle w:val="20"/>
              <w:rFonts w:ascii="仿宋" w:hAnsi="仿宋" w:eastAsia="仿宋" w:cs="仿宋"/>
              <w:sz w:val="24"/>
            </w:rPr>
            <w:t>（二）聚焦打造科技高地，构建新发展格局</w:t>
          </w:r>
          <w:r>
            <w:rPr>
              <w:sz w:val="24"/>
            </w:rPr>
            <w:tab/>
          </w:r>
          <w:r>
            <w:rPr>
              <w:sz w:val="24"/>
            </w:rPr>
            <w:fldChar w:fldCharType="begin"/>
          </w:r>
          <w:r>
            <w:rPr>
              <w:sz w:val="24"/>
            </w:rPr>
            <w:instrText xml:space="preserve"> PAGEREF _Toc99373599 \h </w:instrText>
          </w:r>
          <w:r>
            <w:rPr>
              <w:sz w:val="24"/>
            </w:rPr>
            <w:fldChar w:fldCharType="separate"/>
          </w:r>
          <w:r>
            <w:rPr>
              <w:sz w:val="24"/>
            </w:rPr>
            <w:t>54</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"_Toc99373600" </w:instrText>
          </w:r>
          <w:r>
            <w:fldChar w:fldCharType="separate"/>
          </w:r>
          <w:r>
            <w:rPr>
              <w:rStyle w:val="20"/>
              <w:rFonts w:ascii="仿宋" w:hAnsi="仿宋" w:eastAsia="仿宋" w:cs="仿宋"/>
              <w:sz w:val="24"/>
            </w:rPr>
            <w:t>（三）聚焦安全管控，体系化提升本质安全水平</w:t>
          </w:r>
          <w:r>
            <w:rPr>
              <w:sz w:val="24"/>
            </w:rPr>
            <w:tab/>
          </w:r>
          <w:r>
            <w:rPr>
              <w:sz w:val="24"/>
            </w:rPr>
            <w:fldChar w:fldCharType="begin"/>
          </w:r>
          <w:r>
            <w:rPr>
              <w:sz w:val="24"/>
            </w:rPr>
            <w:instrText xml:space="preserve"> PAGEREF _Toc99373600 \h </w:instrText>
          </w:r>
          <w:r>
            <w:rPr>
              <w:sz w:val="24"/>
            </w:rPr>
            <w:fldChar w:fldCharType="separate"/>
          </w:r>
          <w:r>
            <w:rPr>
              <w:sz w:val="24"/>
            </w:rPr>
            <w:t>54</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"_Toc99373601" </w:instrText>
          </w:r>
          <w:r>
            <w:fldChar w:fldCharType="separate"/>
          </w:r>
          <w:r>
            <w:rPr>
              <w:rStyle w:val="20"/>
              <w:rFonts w:ascii="仿宋" w:hAnsi="仿宋" w:eastAsia="仿宋" w:cs="仿宋"/>
              <w:sz w:val="24"/>
            </w:rPr>
            <w:t>（四）聚焦做好市场开拓，奋力开创发展新局面</w:t>
          </w:r>
          <w:r>
            <w:rPr>
              <w:sz w:val="24"/>
            </w:rPr>
            <w:tab/>
          </w:r>
          <w:r>
            <w:rPr>
              <w:sz w:val="24"/>
            </w:rPr>
            <w:fldChar w:fldCharType="begin"/>
          </w:r>
          <w:r>
            <w:rPr>
              <w:sz w:val="24"/>
            </w:rPr>
            <w:instrText xml:space="preserve"> PAGEREF _Toc99373601 \h </w:instrText>
          </w:r>
          <w:r>
            <w:rPr>
              <w:sz w:val="24"/>
            </w:rPr>
            <w:fldChar w:fldCharType="separate"/>
          </w:r>
          <w:r>
            <w:rPr>
              <w:sz w:val="24"/>
            </w:rPr>
            <w:t>54</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"_Toc99373602" </w:instrText>
          </w:r>
          <w:r>
            <w:fldChar w:fldCharType="separate"/>
          </w:r>
          <w:r>
            <w:rPr>
              <w:rStyle w:val="20"/>
              <w:rFonts w:ascii="仿宋" w:hAnsi="仿宋" w:eastAsia="仿宋" w:cs="仿宋"/>
              <w:sz w:val="24"/>
            </w:rPr>
            <w:t>（五）聚焦优化国有产权，提升企业管理水平</w:t>
          </w:r>
          <w:r>
            <w:rPr>
              <w:sz w:val="24"/>
            </w:rPr>
            <w:tab/>
          </w:r>
          <w:r>
            <w:rPr>
              <w:sz w:val="24"/>
            </w:rPr>
            <w:fldChar w:fldCharType="begin"/>
          </w:r>
          <w:r>
            <w:rPr>
              <w:sz w:val="24"/>
            </w:rPr>
            <w:instrText xml:space="preserve"> PAGEREF _Toc99373602 \h </w:instrText>
          </w:r>
          <w:r>
            <w:rPr>
              <w:sz w:val="24"/>
            </w:rPr>
            <w:fldChar w:fldCharType="separate"/>
          </w:r>
          <w:r>
            <w:rPr>
              <w:sz w:val="24"/>
            </w:rPr>
            <w:t>54</w:t>
          </w:r>
          <w:r>
            <w:rPr>
              <w:sz w:val="24"/>
            </w:rPr>
            <w:fldChar w:fldCharType="end"/>
          </w:r>
          <w:r>
            <w:rPr>
              <w:sz w:val="24"/>
            </w:rPr>
            <w:fldChar w:fldCharType="end"/>
          </w:r>
        </w:p>
        <w:p>
          <w:pPr>
            <w:pStyle w:val="9"/>
            <w:tabs>
              <w:tab w:val="right" w:leader="dot" w:pos="8296"/>
            </w:tabs>
            <w:spacing w:line="300" w:lineRule="auto"/>
            <w:rPr>
              <w:sz w:val="24"/>
            </w:rPr>
          </w:pPr>
          <w:r>
            <w:fldChar w:fldCharType="begin"/>
          </w:r>
          <w:r>
            <w:instrText xml:space="preserve"> HYPERLINK \l "_Toc99373603" </w:instrText>
          </w:r>
          <w:r>
            <w:fldChar w:fldCharType="separate"/>
          </w:r>
          <w:r>
            <w:rPr>
              <w:rStyle w:val="20"/>
              <w:rFonts w:ascii="仿宋" w:hAnsi="仿宋" w:eastAsia="仿宋" w:cs="仿宋"/>
              <w:sz w:val="24"/>
            </w:rPr>
            <w:t>（六）聚焦发挥党建引领作用，助推公司高质量发展</w:t>
          </w:r>
          <w:r>
            <w:rPr>
              <w:sz w:val="24"/>
            </w:rPr>
            <w:tab/>
          </w:r>
          <w:r>
            <w:rPr>
              <w:sz w:val="24"/>
            </w:rPr>
            <w:fldChar w:fldCharType="begin"/>
          </w:r>
          <w:r>
            <w:rPr>
              <w:sz w:val="24"/>
            </w:rPr>
            <w:instrText xml:space="preserve"> PAGEREF _Toc99373603 \h </w:instrText>
          </w:r>
          <w:r>
            <w:rPr>
              <w:sz w:val="24"/>
            </w:rPr>
            <w:fldChar w:fldCharType="separate"/>
          </w:r>
          <w:r>
            <w:rPr>
              <w:sz w:val="24"/>
            </w:rPr>
            <w:t>55</w:t>
          </w:r>
          <w:r>
            <w:rPr>
              <w:sz w:val="24"/>
            </w:rPr>
            <w:fldChar w:fldCharType="end"/>
          </w:r>
          <w:r>
            <w:rPr>
              <w:sz w:val="24"/>
            </w:rPr>
            <w:fldChar w:fldCharType="end"/>
          </w:r>
        </w:p>
        <w:p>
          <w:pPr>
            <w:pStyle w:val="13"/>
            <w:spacing w:line="300" w:lineRule="auto"/>
            <w:rPr>
              <w:rFonts w:asciiTheme="minorHAnsi" w:hAnsiTheme="minorHAnsi" w:eastAsiaTheme="minorEastAsia" w:cstheme="minorBidi"/>
              <w:b w:val="0"/>
              <w:bCs w:val="0"/>
              <w:kern w:val="2"/>
              <w:sz w:val="24"/>
            </w:rPr>
          </w:pPr>
          <w:r>
            <w:fldChar w:fldCharType="begin"/>
          </w:r>
          <w:r>
            <w:instrText xml:space="preserve"> HYPERLINK \l "_Toc99373604" </w:instrText>
          </w:r>
          <w:r>
            <w:fldChar w:fldCharType="separate"/>
          </w:r>
          <w:r>
            <w:rPr>
              <w:rStyle w:val="20"/>
              <w:rFonts w:cs="黑体"/>
              <w:sz w:val="24"/>
            </w:rPr>
            <w:t>意见反馈表</w:t>
          </w:r>
          <w:r>
            <w:rPr>
              <w:sz w:val="24"/>
            </w:rPr>
            <w:tab/>
          </w:r>
          <w:r>
            <w:rPr>
              <w:sz w:val="24"/>
            </w:rPr>
            <w:fldChar w:fldCharType="begin"/>
          </w:r>
          <w:r>
            <w:rPr>
              <w:sz w:val="24"/>
            </w:rPr>
            <w:instrText xml:space="preserve"> PAGEREF _Toc99373604 \h </w:instrText>
          </w:r>
          <w:r>
            <w:rPr>
              <w:sz w:val="24"/>
            </w:rPr>
            <w:fldChar w:fldCharType="separate"/>
          </w:r>
          <w:r>
            <w:rPr>
              <w:sz w:val="24"/>
            </w:rPr>
            <w:t>56</w:t>
          </w:r>
          <w:r>
            <w:rPr>
              <w:sz w:val="24"/>
            </w:rPr>
            <w:fldChar w:fldCharType="end"/>
          </w:r>
          <w:r>
            <w:rPr>
              <w:sz w:val="24"/>
            </w:rPr>
            <w:fldChar w:fldCharType="end"/>
          </w:r>
        </w:p>
        <w:p>
          <w:pPr>
            <w:rPr>
              <w:b/>
              <w:bCs/>
              <w:lang w:val="zh-CN"/>
            </w:rPr>
          </w:pPr>
          <w:r>
            <w:rPr>
              <w:rFonts w:ascii="Times New Roman" w:hAnsi="Times New Roman" w:cs="Times New Roman"/>
              <w:bCs/>
              <w:lang w:val="zh-CN"/>
            </w:rPr>
            <w:fldChar w:fldCharType="end"/>
          </w:r>
        </w:p>
      </w:sdtContent>
    </w:sdt>
    <w:p>
      <w:r>
        <w:rPr>
          <w:lang w:bidi="ar"/>
        </w:rPr>
        <w:br w:type="page"/>
      </w:r>
    </w:p>
    <w:p>
      <w:pPr>
        <w:widowControl/>
        <w:spacing w:line="560" w:lineRule="exact"/>
        <w:jc w:val="center"/>
        <w:outlineLvl w:val="0"/>
        <w:rPr>
          <w:rFonts w:ascii="黑体" w:hAnsi="黑体" w:eastAsia="黑体" w:cs="黑体"/>
          <w:b/>
          <w:bCs/>
          <w:color w:val="000000" w:themeColor="text1"/>
          <w:sz w:val="32"/>
          <w:szCs w:val="32"/>
          <w14:textFill>
            <w14:solidFill>
              <w14:schemeClr w14:val="tx1"/>
            </w14:solidFill>
          </w14:textFill>
        </w:rPr>
      </w:pPr>
      <w:bookmarkStart w:id="0" w:name="_Toc99373537"/>
      <w:r>
        <w:rPr>
          <w:rFonts w:hint="eastAsia" w:ascii="黑体" w:hAnsi="黑体" w:eastAsia="黑体" w:cs="黑体"/>
          <w:b/>
          <w:bCs/>
          <w:color w:val="000000" w:themeColor="text1"/>
          <w:kern w:val="0"/>
          <w:sz w:val="32"/>
          <w:szCs w:val="32"/>
          <w:lang w:bidi="ar"/>
          <w14:textFill>
            <w14:solidFill>
              <w14:schemeClr w14:val="tx1"/>
            </w14:solidFill>
          </w14:textFill>
        </w:rPr>
        <w:t>第一章 编制说明</w:t>
      </w:r>
      <w:bookmarkEnd w:id="0"/>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一、上市公司社会责任，是指上市公司对国家和社会的全面发展、自然环境和生态资源，以及股东、债权人、职工、客户、供应商、政府、社区等利益相关方所应承担的责任。</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二、本报告以履行社会责任工作为重点，真实、客观地反映了公司在从事经营管理活动中，履行社会责任方面的重要信息。</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三、本报告根据国务院国资委、深圳证券交易所的有关规定，结合公司2021年度履行社会责任、公司治理、环境保护方面的具体情况编制。</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四、本报告时间范围为2021年1月1日至2021年12月31日。</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五、本报告以公司合并口径统计编制，数据均来自公司正式文件与统计报告，以及相关职能部门提供的专项数据。</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六、希望本报告能起到与社会各界沟通、交流的桥梁作用，同时接受社会监督，促使公司成为更加优秀的上市公司。</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sectPr>
          <w:footerReference r:id="rId3" w:type="default"/>
          <w:pgSz w:w="11906" w:h="16838"/>
          <w:pgMar w:top="1440" w:right="1800" w:bottom="1440" w:left="1800" w:header="680" w:footer="992" w:gutter="0"/>
          <w:pgNumType w:start="2"/>
          <w:cols w:space="425" w:num="1"/>
          <w:docGrid w:type="lines" w:linePitch="312" w:charSpace="0"/>
        </w:sectPr>
      </w:pPr>
    </w:p>
    <w:p>
      <w:pPr>
        <w:pStyle w:val="3"/>
        <w:spacing w:before="0" w:after="0" w:line="560" w:lineRule="exact"/>
        <w:jc w:val="center"/>
        <w:rPr>
          <w:rFonts w:ascii="黑体" w:hAnsi="黑体" w:eastAsia="黑体" w:cs="黑体"/>
          <w:color w:val="000000" w:themeColor="text1"/>
          <w:sz w:val="32"/>
          <w:szCs w:val="32"/>
          <w14:textFill>
            <w14:solidFill>
              <w14:schemeClr w14:val="tx1"/>
            </w14:solidFill>
          </w14:textFill>
        </w:rPr>
      </w:pPr>
      <w:bookmarkStart w:id="1" w:name="_Toc99373538"/>
      <w:r>
        <w:rPr>
          <w:rFonts w:hint="eastAsia" w:ascii="黑体" w:hAnsi="黑体" w:eastAsia="黑体" w:cs="黑体"/>
          <w:color w:val="000000" w:themeColor="text1"/>
          <w:sz w:val="32"/>
          <w:szCs w:val="32"/>
          <w14:textFill>
            <w14:solidFill>
              <w14:schemeClr w14:val="tx1"/>
            </w14:solidFill>
          </w14:textFill>
        </w:rPr>
        <w:t>第二章 高管致辞</w:t>
      </w:r>
      <w:bookmarkEnd w:id="1"/>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2021年，举国上下隆重庆祝中国共产党成立100周年，中华大地全面建成小康社会。这一年是奋进“十四五”的开局之年，也是江南化工加入兵器倍感振奋的一年。面对融合与发展的双重任务、复杂严峻的外部形势、多点散发的疫情影响，</w:t>
      </w:r>
      <w:r>
        <w:rPr>
          <w:rFonts w:hint="eastAsia" w:ascii="仿宋" w:hAnsi="仿宋" w:eastAsia="仿宋" w:cs="仿宋"/>
          <w:color w:val="000000" w:themeColor="text1"/>
          <w:kern w:val="0"/>
          <w:sz w:val="32"/>
          <w:szCs w:val="32"/>
          <w:lang w:bidi="ar"/>
          <w14:textFill>
            <w14:solidFill>
              <w14:schemeClr w14:val="tx1"/>
            </w14:solidFill>
          </w14:textFill>
        </w:rPr>
        <w:t>公司带着人民兵工的荣光和积极支撑打造民爆现代产业链“链长”的使命，</w:t>
      </w:r>
      <w:r>
        <w:rPr>
          <w:rFonts w:hint="eastAsia" w:ascii="仿宋" w:hAnsi="仿宋" w:eastAsia="仿宋" w:cs="仿宋"/>
          <w:color w:val="000000" w:themeColor="text1"/>
          <w:sz w:val="32"/>
          <w:szCs w:val="32"/>
          <w14:textFill>
            <w14:solidFill>
              <w14:schemeClr w14:val="tx1"/>
            </w14:solidFill>
          </w14:textFill>
        </w:rPr>
        <w:t>营收、利润同比增幅大幅跑赢民爆行业平均水平，爆破施工板块收入再创历史新高，转型发展的效果逐步显现，</w:t>
      </w:r>
      <w:r>
        <w:rPr>
          <w:rFonts w:hint="eastAsia" w:ascii="仿宋" w:hAnsi="仿宋" w:eastAsia="仿宋" w:cs="仿宋"/>
          <w:color w:val="000000" w:themeColor="text1"/>
          <w:kern w:val="0"/>
          <w:sz w:val="32"/>
          <w:szCs w:val="32"/>
          <w14:textFill>
            <w14:solidFill>
              <w14:schemeClr w14:val="tx1"/>
            </w14:solidFill>
          </w14:textFill>
        </w:rPr>
        <w:t>实现了“十四五”良好开局</w:t>
      </w:r>
      <w:r>
        <w:rPr>
          <w:rFonts w:hint="eastAsia" w:ascii="仿宋" w:hAnsi="仿宋" w:eastAsia="仿宋" w:cs="仿宋"/>
          <w:color w:val="000000" w:themeColor="text1"/>
          <w:sz w:val="32"/>
          <w:szCs w:val="32"/>
          <w14:textFill>
            <w14:solidFill>
              <w14:schemeClr w14:val="tx1"/>
            </w14:solidFill>
          </w14:textFill>
        </w:rPr>
        <w:t>。</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江南化工始建于1985年5月，2008年5月上市，2020年12月，特能集团完成公司控制权收购，江南化工正式成为特能集团控股、兵器工业集团实控的上市公司。2021年，按照国资委要求，在兵器工业集团、特能集团的领导支持下，公司融合发展成效明显，</w:t>
      </w:r>
      <w:r>
        <w:rPr>
          <w:rFonts w:hint="eastAsia" w:ascii="仿宋" w:hAnsi="仿宋" w:eastAsia="仿宋" w:cs="仿宋"/>
          <w:color w:val="000000" w:themeColor="text1"/>
          <w:kern w:val="0"/>
          <w:sz w:val="32"/>
          <w:szCs w:val="32"/>
          <w:lang w:bidi="ar"/>
          <w14:textFill>
            <w14:solidFill>
              <w14:schemeClr w14:val="tx1"/>
            </w14:solidFill>
          </w14:textFill>
        </w:rPr>
        <w:t>未发生重伤及以上生产安全事故、环保事故、重大质量问题及质量事故，未发生媒体披露不良事件和安全稳定失泄密事件。公司在遵守社会公德、商业道德、诚信经营的同时，积极从事环境保护、驻村帮扶、扶贫捐赠等公益事业，促进公司与社会全面协调、可持续发展。</w:t>
      </w:r>
      <w:r>
        <w:rPr>
          <w:rFonts w:hint="eastAsia" w:ascii="仿宋" w:hAnsi="仿宋" w:eastAsia="仿宋" w:cs="仿宋"/>
          <w:color w:val="000000" w:themeColor="text1"/>
          <w:sz w:val="32"/>
          <w:szCs w:val="32"/>
          <w14:textFill>
            <w14:solidFill>
              <w14:schemeClr w14:val="tx1"/>
            </w14:solidFill>
          </w14:textFill>
        </w:rPr>
        <w:t>实践证明重组取得了成功。</w:t>
      </w:r>
    </w:p>
    <w:p>
      <w:pPr>
        <w:widowControl/>
        <w:spacing w:line="560" w:lineRule="exact"/>
        <w:ind w:firstLine="640" w:firstLineChars="200"/>
        <w:jc w:val="left"/>
        <w:rPr>
          <w:rFonts w:ascii="仿宋" w:hAnsi="仿宋" w:eastAsia="仿宋" w:cs="仿宋"/>
          <w:color w:val="000000" w:themeColor="text1"/>
          <w:kern w:val="0"/>
          <w:sz w:val="32"/>
          <w:szCs w:val="32"/>
          <w:highlight w:val="yellow"/>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报告期内，公司实现营业收入64.81亿元，同比增长65.39%；实现利润总额14.32亿元，同比增长112.65%；归属于上市公司股东的净利润10.53亿元，同比增长135.58%；归属于上市公司股东的扣除非经常性损益的净利润5.42亿元，同比增长33.98%；实现每股收益0.3974元，较去年同期增加135.57%。报告期末，公司资产总额为152.85亿元，比期初增加5.93%；归属于上市公司股东的所有者权益为85.42亿元，比期初增加12.94%。</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2022年是党的二十大召开之年，也是江南化工站上新起点启航新征程，奋力开创高质量发展新局面的关键之年。公司将以习近平新时代中国特色社会主义思想为指导，深入贯彻落实党的十九届六中全会精神和中央经济工作会议精神，准确把握公司发展定位，认真履行上市公司社会责任，以高质量发展为主题，统筹国际国内两个市场，突出科技创新和管理创新，深化结构调整，全面加强党的建设，对内做优做实、对外加强重组，坚定不移做强做优做大，巩固提升民爆跨越发展能力，确保全面实现企业发展目标，以优异成绩迎接党的二十大胜利召开。</w:t>
      </w:r>
    </w:p>
    <w:p>
      <w:pPr>
        <w:widowControl/>
        <w:spacing w:line="560" w:lineRule="exact"/>
        <w:ind w:firstLine="640" w:firstLineChars="200"/>
        <w:rPr>
          <w:rFonts w:hint="eastAsia"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衷心感谢社会各界对安徽江南化工股份有限公司的支持和帮助！欢迎社会各界朋友阅读本报告，并期待您留下宝贵的意见和建议。</w:t>
      </w:r>
    </w:p>
    <w:p>
      <w:pPr>
        <w:pStyle w:val="2"/>
        <w:rPr>
          <w:rFonts w:hint="eastAsia" w:ascii="仿宋" w:hAnsi="仿宋" w:eastAsia="仿宋" w:cs="仿宋"/>
          <w:color w:val="000000" w:themeColor="text1"/>
          <w:kern w:val="0"/>
          <w:sz w:val="32"/>
          <w:szCs w:val="32"/>
          <w:lang w:bidi="ar"/>
          <w14:textFill>
            <w14:solidFill>
              <w14:schemeClr w14:val="tx1"/>
            </w14:solidFill>
          </w14:textFill>
        </w:rPr>
      </w:pPr>
    </w:p>
    <w:p/>
    <w:p>
      <w:pPr>
        <w:widowControl/>
        <w:spacing w:line="560" w:lineRule="exact"/>
        <w:ind w:firstLine="640" w:firstLineChars="200"/>
        <w:jc w:val="righ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总裁：沈跃华</w:t>
      </w:r>
    </w:p>
    <w:p>
      <w:pPr>
        <w:widowControl/>
        <w:spacing w:line="560" w:lineRule="exact"/>
        <w:ind w:firstLine="640" w:firstLineChars="200"/>
        <w:jc w:val="righ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2022年03月</w:t>
      </w:r>
    </w:p>
    <w:p>
      <w:pPr>
        <w:widowControl/>
        <w:spacing w:line="560" w:lineRule="exact"/>
        <w:ind w:firstLine="640" w:firstLineChars="200"/>
        <w:jc w:val="right"/>
        <w:rPr>
          <w:rFonts w:ascii="仿宋" w:hAnsi="仿宋" w:eastAsia="仿宋" w:cs="仿宋"/>
          <w:color w:val="000000" w:themeColor="text1"/>
          <w:kern w:val="0"/>
          <w:sz w:val="32"/>
          <w:szCs w:val="32"/>
          <w:lang w:bidi="ar"/>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spacing w:before="0" w:after="0" w:line="560" w:lineRule="exact"/>
        <w:jc w:val="center"/>
        <w:rPr>
          <w:rFonts w:ascii="黑体" w:hAnsi="黑体" w:eastAsia="黑体" w:cs="黑体"/>
          <w:color w:val="000000" w:themeColor="text1"/>
          <w:sz w:val="32"/>
          <w:szCs w:val="32"/>
          <w14:textFill>
            <w14:solidFill>
              <w14:schemeClr w14:val="tx1"/>
            </w14:solidFill>
          </w14:textFill>
        </w:rPr>
      </w:pPr>
      <w:bookmarkStart w:id="2" w:name="_Toc99373539"/>
      <w:r>
        <w:rPr>
          <w:rFonts w:hint="eastAsia" w:ascii="黑体" w:hAnsi="黑体" w:eastAsia="黑体" w:cs="黑体"/>
          <w:color w:val="000000" w:themeColor="text1"/>
          <w:sz w:val="32"/>
          <w:szCs w:val="32"/>
          <w14:textFill>
            <w14:solidFill>
              <w14:schemeClr w14:val="tx1"/>
            </w14:solidFill>
          </w14:textFill>
        </w:rPr>
        <w:t>第三章 公司简介</w:t>
      </w:r>
      <w:bookmarkEnd w:id="2"/>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 w:name="_Toc99373540"/>
      <w:r>
        <w:rPr>
          <w:rFonts w:hint="eastAsia" w:ascii="仿宋" w:hAnsi="仿宋" w:eastAsia="仿宋" w:cs="仿宋"/>
          <w:color w:val="000000" w:themeColor="text1"/>
          <w:szCs w:val="32"/>
          <w14:textFill>
            <w14:solidFill>
              <w14:schemeClr w14:val="tx1"/>
            </w14:solidFill>
          </w14:textFill>
        </w:rPr>
        <w:t>一、公司概况</w:t>
      </w:r>
      <w:bookmarkEnd w:id="3"/>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安徽江南化工股份有限公司（股票简称：江南化工，股票代码：002226）是中国兵器工业集团北方特种能源集团控股的民爆及新能源业务“双核驱动”上市公司，全国安全文化建设示范企业，2021年末在职员工6962人。</w:t>
      </w:r>
    </w:p>
    <w:p>
      <w:pPr>
        <w:widowControl/>
        <w:spacing w:line="560" w:lineRule="exact"/>
        <w:ind w:firstLine="643"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b/>
          <w:bCs/>
          <w:color w:val="000000" w:themeColor="text1"/>
          <w:kern w:val="0"/>
          <w:sz w:val="32"/>
          <w:szCs w:val="32"/>
          <w:lang w:bidi="ar"/>
          <w14:textFill>
            <w14:solidFill>
              <w14:schemeClr w14:val="tx1"/>
            </w14:solidFill>
          </w14:textFill>
        </w:rPr>
        <w:t>在民爆领域：</w:t>
      </w:r>
      <w:r>
        <w:rPr>
          <w:rFonts w:hint="eastAsia" w:ascii="仿宋" w:hAnsi="仿宋" w:eastAsia="仿宋" w:cs="仿宋"/>
          <w:color w:val="000000" w:themeColor="text1"/>
          <w:kern w:val="0"/>
          <w:sz w:val="32"/>
          <w:szCs w:val="32"/>
          <w:lang w:bidi="ar"/>
          <w14:textFill>
            <w14:solidFill>
              <w14:schemeClr w14:val="tx1"/>
            </w14:solidFill>
          </w14:textFill>
        </w:rPr>
        <w:t>公司不断加快产业转型升级，赋能高质量发展，积极探索“一体两翼”的经营模式，全面布局民爆产品服务、工程施工服务（含设计、评估、监理、检测、钻、爆、挖、运及矿山治理）、矿山经营管理三大业务板块。目前，公司国内业务覆盖安徽、新疆、北京、陕西、四川、河南、湖北、福建、广西、江苏等十余个省、自治区和直辖市，国外业务遍布</w:t>
      </w:r>
      <w:r>
        <w:rPr>
          <w:rFonts w:hint="eastAsia" w:ascii="仿宋" w:hAnsi="仿宋" w:eastAsia="仿宋" w:cs="仿宋"/>
          <w:color w:val="000000" w:themeColor="text1"/>
          <w:kern w:val="0"/>
          <w:sz w:val="32"/>
          <w:szCs w:val="32"/>
          <w:lang w:eastAsia="zh-Hans" w:bidi="ar"/>
          <w14:textFill>
            <w14:solidFill>
              <w14:schemeClr w14:val="tx1"/>
            </w14:solidFill>
          </w14:textFill>
        </w:rPr>
        <w:t>纳米比亚、蒙古、刚果</w:t>
      </w:r>
      <w:r>
        <w:rPr>
          <w:rFonts w:hint="eastAsia" w:ascii="仿宋" w:hAnsi="仿宋" w:eastAsia="仿宋" w:cs="仿宋"/>
          <w:color w:val="000000" w:themeColor="text1"/>
          <w:kern w:val="0"/>
          <w:sz w:val="32"/>
          <w:szCs w:val="32"/>
          <w:lang w:bidi="ar"/>
          <w14:textFill>
            <w14:solidFill>
              <w14:schemeClr w14:val="tx1"/>
            </w14:solidFill>
          </w14:textFill>
        </w:rPr>
        <w:t>（金）</w:t>
      </w:r>
      <w:r>
        <w:rPr>
          <w:rFonts w:hint="eastAsia" w:ascii="仿宋" w:hAnsi="仿宋" w:eastAsia="仿宋" w:cs="仿宋"/>
          <w:color w:val="000000" w:themeColor="text1"/>
          <w:kern w:val="0"/>
          <w:sz w:val="32"/>
          <w:szCs w:val="32"/>
          <w:lang w:eastAsia="zh-Hans" w:bidi="ar"/>
          <w14:textFill>
            <w14:solidFill>
              <w14:schemeClr w14:val="tx1"/>
            </w14:solidFill>
          </w14:textFill>
        </w:rPr>
        <w:t>等亚、非国家和地区</w:t>
      </w:r>
      <w:r>
        <w:rPr>
          <w:rFonts w:hint="eastAsia" w:ascii="仿宋" w:hAnsi="仿宋" w:eastAsia="仿宋" w:cs="仿宋"/>
          <w:color w:val="000000" w:themeColor="text1"/>
          <w:kern w:val="0"/>
          <w:sz w:val="32"/>
          <w:szCs w:val="32"/>
          <w:lang w:bidi="ar"/>
          <w14:textFill>
            <w14:solidFill>
              <w14:schemeClr w14:val="tx1"/>
            </w14:solidFill>
          </w14:textFill>
        </w:rPr>
        <w:t>。</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公司国内工业炸药及制品许可产能37.55万吨、导爆管雷管4000万发、数码雷管3670万发、工业导爆索1</w:t>
      </w:r>
      <w:r>
        <w:rPr>
          <w:rFonts w:ascii="仿宋" w:hAnsi="仿宋" w:eastAsia="仿宋" w:cs="仿宋"/>
          <w:color w:val="000000" w:themeColor="text1"/>
          <w:kern w:val="0"/>
          <w:sz w:val="32"/>
          <w:szCs w:val="32"/>
          <w:lang w:bidi="ar"/>
          <w14:textFill>
            <w14:solidFill>
              <w14:schemeClr w14:val="tx1"/>
            </w14:solidFill>
          </w14:textFill>
        </w:rPr>
        <w:t>6</w:t>
      </w:r>
      <w:r>
        <w:rPr>
          <w:rFonts w:hint="eastAsia" w:ascii="仿宋" w:hAnsi="仿宋" w:eastAsia="仿宋" w:cs="仿宋"/>
          <w:color w:val="000000" w:themeColor="text1"/>
          <w:kern w:val="0"/>
          <w:sz w:val="32"/>
          <w:szCs w:val="32"/>
          <w:lang w:bidi="ar"/>
          <w14:textFill>
            <w14:solidFill>
              <w14:schemeClr w14:val="tx1"/>
            </w14:solidFill>
          </w14:textFill>
        </w:rPr>
        <w:t>00万米，是国内炸药品种最齐全的民爆企业集团之一；爆破业务已完成国内重点资源区域的战略布局，下辖专业爆破公司30余家，可为客户提供爆破工程设计、评估、监理、检测以及钻、爆、挖、运等一体化服务。</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致力于通过技术创新提升产品质量，提升本质安全水平，多项技术处于国际领先/先进水平。其中：江南化工“无固定操作人员智能化粉状乳化炸药生产线”项目达到国际领先水平；江南化工“低爆速粉状乳化炸药生产工艺及装备”项目，江南化工“民爆产品可追溯及仓储智慧管理系统”，马鞍山公司“乳化粒状铵油炸药生产技术及装备”项目，均达到国际先进水平；新疆天河“全自动震源药柱装药机”，南理工科化“硝酸肼镍起爆药生产线连续化、自动化生产技术及装备”项目，湖北帅力“工业导爆索生产自动输送加药工艺及装备”项目均达到国内领先水平；南理工科化“数码电子雷管项目”达到国内先进水平。此外，江南化工“粉状乳化炸药安全生产智能制造新模式应用项目”2019年通过验收，并于2020年获得中爆协科学技术项目二等奖。</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坚持国际化战略思想，紧抓“一带一路”建设重大机遇，持续加快国际化发展步伐，着力构建国内国际业务协调发展新格局，打造民爆一体化产业链，先后承接了“一带一路”沿线多个战略性矿山开采项目的爆破一体化服务，是中国民爆行业国际化的标杆企业。</w:t>
      </w:r>
    </w:p>
    <w:p>
      <w:pPr>
        <w:widowControl/>
        <w:spacing w:line="560" w:lineRule="exact"/>
        <w:ind w:firstLine="643"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b/>
          <w:bCs/>
          <w:color w:val="000000" w:themeColor="text1"/>
          <w:kern w:val="0"/>
          <w:sz w:val="32"/>
          <w:szCs w:val="32"/>
          <w:lang w:bidi="ar"/>
          <w14:textFill>
            <w14:solidFill>
              <w14:schemeClr w14:val="tx1"/>
            </w14:solidFill>
          </w14:textFill>
        </w:rPr>
        <w:t>在新能源领域：</w:t>
      </w:r>
      <w:r>
        <w:rPr>
          <w:rFonts w:hint="eastAsia" w:ascii="仿宋" w:hAnsi="仿宋" w:eastAsia="仿宋" w:cs="仿宋"/>
          <w:color w:val="000000" w:themeColor="text1"/>
          <w:kern w:val="0"/>
          <w:sz w:val="32"/>
          <w:szCs w:val="32"/>
          <w:lang w:bidi="ar"/>
          <w14:textFill>
            <w14:solidFill>
              <w14:schemeClr w14:val="tx1"/>
            </w14:solidFill>
          </w14:textFill>
        </w:rPr>
        <w:t>专业从事风电场、光伏电站开发、建设、运营，拥有10多年清洁能源开发经验。公司以合肥为核心，向全国辐射，目前在内蒙、新疆、宁夏、贵州、甘肃、山西、云南等资源优势区拥有近7000万千瓦的优质风、光资源储备。截至2021年末</w:t>
      </w:r>
      <w:r>
        <w:rPr>
          <w:rFonts w:hint="eastAsia" w:ascii="仿宋" w:hAnsi="仿宋" w:eastAsia="仿宋" w:cs="仿宋"/>
          <w:color w:val="000000" w:themeColor="text1"/>
          <w:kern w:val="0"/>
          <w:sz w:val="32"/>
          <w:szCs w:val="32"/>
          <w:lang w:eastAsia="zh-Hans" w:bidi="ar"/>
          <w14:textFill>
            <w14:solidFill>
              <w14:schemeClr w14:val="tx1"/>
            </w14:solidFill>
          </w14:textFill>
        </w:rPr>
        <w:t>累计装机</w:t>
      </w:r>
      <w:r>
        <w:rPr>
          <w:rFonts w:ascii="仿宋" w:hAnsi="仿宋" w:eastAsia="仿宋" w:cs="仿宋"/>
          <w:color w:val="000000" w:themeColor="text1"/>
          <w:kern w:val="0"/>
          <w:sz w:val="32"/>
          <w:szCs w:val="32"/>
          <w:lang w:bidi="ar"/>
          <w14:textFill>
            <w14:solidFill>
              <w14:schemeClr w14:val="tx1"/>
            </w14:solidFill>
          </w14:textFill>
        </w:rPr>
        <w:t>9</w:t>
      </w:r>
      <w:r>
        <w:rPr>
          <w:rFonts w:hint="eastAsia" w:ascii="仿宋" w:hAnsi="仿宋" w:eastAsia="仿宋" w:cs="仿宋"/>
          <w:color w:val="000000" w:themeColor="text1"/>
          <w:kern w:val="0"/>
          <w:sz w:val="32"/>
          <w:szCs w:val="32"/>
          <w:lang w:bidi="ar"/>
          <w14:textFill>
            <w14:solidFill>
              <w14:schemeClr w14:val="tx1"/>
            </w14:solidFill>
          </w14:textFill>
        </w:rPr>
        <w:t>6</w:t>
      </w:r>
      <w:r>
        <w:rPr>
          <w:rFonts w:hint="eastAsia" w:ascii="仿宋" w:hAnsi="仿宋" w:eastAsia="仿宋" w:cs="仿宋"/>
          <w:color w:val="000000" w:themeColor="text1"/>
          <w:kern w:val="0"/>
          <w:sz w:val="32"/>
          <w:szCs w:val="32"/>
          <w:lang w:eastAsia="zh-Hans" w:bidi="ar"/>
          <w14:textFill>
            <w14:solidFill>
              <w14:schemeClr w14:val="tx1"/>
            </w14:solidFill>
          </w14:textFill>
        </w:rPr>
        <w:t>万千瓦</w:t>
      </w:r>
      <w:r>
        <w:rPr>
          <w:rFonts w:hint="eastAsia" w:ascii="仿宋" w:hAnsi="仿宋" w:eastAsia="仿宋" w:cs="仿宋"/>
          <w:color w:val="000000" w:themeColor="text1"/>
          <w:kern w:val="0"/>
          <w:sz w:val="32"/>
          <w:szCs w:val="32"/>
          <w:lang w:bidi="ar"/>
          <w14:textFill>
            <w14:solidFill>
              <w14:schemeClr w14:val="tx1"/>
            </w14:solidFill>
          </w14:textFill>
        </w:rPr>
        <w:t>,在建10万</w:t>
      </w:r>
      <w:r>
        <w:rPr>
          <w:rFonts w:hint="eastAsia" w:ascii="仿宋" w:hAnsi="仿宋" w:eastAsia="仿宋" w:cs="仿宋"/>
          <w:color w:val="000000" w:themeColor="text1"/>
          <w:kern w:val="0"/>
          <w:sz w:val="32"/>
          <w:szCs w:val="32"/>
          <w:lang w:eastAsia="zh-Hans" w:bidi="ar"/>
          <w14:textFill>
            <w14:solidFill>
              <w14:schemeClr w14:val="tx1"/>
            </w14:solidFill>
          </w14:textFill>
        </w:rPr>
        <w:t>千瓦</w:t>
      </w:r>
      <w:r>
        <w:rPr>
          <w:rFonts w:hint="eastAsia" w:ascii="仿宋" w:hAnsi="仿宋" w:eastAsia="仿宋" w:cs="仿宋"/>
          <w:color w:val="000000" w:themeColor="text1"/>
          <w:kern w:val="0"/>
          <w:sz w:val="32"/>
          <w:szCs w:val="32"/>
          <w:lang w:bidi="ar"/>
          <w14:textFill>
            <w14:solidFill>
              <w14:schemeClr w14:val="tx1"/>
            </w14:solidFill>
          </w14:textFill>
        </w:rPr>
        <w:t>。</w:t>
      </w:r>
    </w:p>
    <w:p>
      <w:pPr>
        <w:pStyle w:val="2"/>
        <w:rPr>
          <w:rFonts w:ascii="仿宋" w:hAnsi="仿宋" w:eastAsia="仿宋" w:cs="仿宋"/>
          <w:color w:val="000000" w:themeColor="text1"/>
          <w:sz w:val="32"/>
          <w:szCs w:val="32"/>
          <w:lang w:bidi="ar"/>
          <w14:textFill>
            <w14:solidFill>
              <w14:schemeClr w14:val="tx1"/>
            </w14:solidFill>
          </w14:textFill>
        </w:rPr>
      </w:pPr>
    </w:p>
    <w:p/>
    <w:p>
      <w:pPr>
        <w:pStyle w:val="2"/>
        <w:rPr>
          <w:rFonts w:ascii="仿宋" w:hAnsi="仿宋" w:eastAsia="仿宋" w:cs="仿宋"/>
          <w:color w:val="000000" w:themeColor="text1"/>
          <w:sz w:val="32"/>
          <w:szCs w:val="32"/>
          <w:lang w:bidi="ar"/>
          <w14:textFill>
            <w14:solidFill>
              <w14:schemeClr w14:val="tx1"/>
            </w14:solidFill>
          </w14:textFill>
        </w:rPr>
      </w:pPr>
    </w:p>
    <w:p/>
    <w:p>
      <w:pPr>
        <w:pStyle w:val="2"/>
      </w:pPr>
    </w:p>
    <w:p>
      <w:pPr>
        <w:pStyle w:val="4"/>
        <w:numPr>
          <w:ilvl w:val="0"/>
          <w:numId w:val="1"/>
        </w:numPr>
        <w:spacing w:before="0" w:after="0" w:line="560" w:lineRule="exact"/>
        <w:ind w:firstLine="643" w:firstLineChars="200"/>
        <w:rPr>
          <w:rFonts w:ascii="仿宋" w:hAnsi="仿宋" w:eastAsia="仿宋" w:cs="仿宋"/>
          <w:szCs w:val="32"/>
        </w:rPr>
      </w:pPr>
      <w:bookmarkStart w:id="4" w:name="_Toc99373541"/>
      <w:r>
        <w:rPr>
          <w:rFonts w:hint="eastAsia" w:ascii="仿宋" w:hAnsi="仿宋" w:eastAsia="仿宋" w:cs="仿宋"/>
          <w:szCs w:val="32"/>
        </w:rPr>
        <w:t>组织结构</w:t>
      </w:r>
      <w:bookmarkEnd w:id="4"/>
    </w:p>
    <w:p>
      <w:r>
        <w:rPr>
          <w:rFonts w:hint="eastAsia" w:ascii="仿宋" w:hAnsi="仿宋" w:eastAsia="仿宋" w:cs="仿宋"/>
          <w:color w:val="000000" w:themeColor="text1"/>
          <w:sz w:val="32"/>
          <w:szCs w:val="32"/>
          <w14:textFill>
            <w14:solidFill>
              <w14:schemeClr w14:val="tx1"/>
            </w14:solidFill>
          </w14:textFill>
        </w:rPr>
        <w:drawing>
          <wp:anchor distT="0" distB="0" distL="114300" distR="114300" simplePos="0" relativeHeight="251663360" behindDoc="0" locked="0" layoutInCell="1" allowOverlap="1">
            <wp:simplePos x="0" y="0"/>
            <wp:positionH relativeFrom="column">
              <wp:posOffset>-403860</wp:posOffset>
            </wp:positionH>
            <wp:positionV relativeFrom="paragraph">
              <wp:posOffset>163195</wp:posOffset>
            </wp:positionV>
            <wp:extent cx="6270625" cy="3397885"/>
            <wp:effectExtent l="0" t="0" r="3175" b="571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270625" cy="3397885"/>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pStyle w:val="2"/>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 w:name="_Toc99373542"/>
      <w:r>
        <w:rPr>
          <w:rFonts w:hint="eastAsia" w:ascii="仿宋" w:hAnsi="仿宋" w:eastAsia="仿宋" w:cs="仿宋"/>
          <w:color w:val="000000" w:themeColor="text1"/>
          <w:szCs w:val="32"/>
          <w14:textFill>
            <w14:solidFill>
              <w14:schemeClr w14:val="tx1"/>
            </w14:solidFill>
          </w14:textFill>
        </w:rPr>
        <w:t>三、联系方式</w:t>
      </w:r>
      <w:bookmarkEnd w:id="5"/>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公司地址：安徽省合肥市高新技术开发区创新大道2800号创新产业园J2A栋17楼</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联系电话：0551-65862550</w:t>
      </w:r>
    </w:p>
    <w:p>
      <w:pPr>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br w:type="page"/>
      </w:r>
    </w:p>
    <w:p>
      <w:pPr>
        <w:pStyle w:val="3"/>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6" w:name="_Toc99373543"/>
      <w:r>
        <w:rPr>
          <w:rFonts w:hint="eastAsia" w:ascii="黑体" w:hAnsi="黑体" w:eastAsia="黑体" w:cs="黑体"/>
          <w:color w:val="000000" w:themeColor="text1"/>
          <w:sz w:val="32"/>
          <w:szCs w:val="32"/>
          <w14:textFill>
            <w14:solidFill>
              <w14:schemeClr w14:val="tx1"/>
            </w14:solidFill>
          </w14:textFill>
        </w:rPr>
        <w:t>第四章 公司治理</w:t>
      </w:r>
      <w:bookmarkEnd w:id="6"/>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7" w:name="_Toc99373544"/>
      <w:r>
        <w:rPr>
          <w:rFonts w:hint="eastAsia" w:ascii="仿宋" w:hAnsi="仿宋" w:eastAsia="仿宋" w:cs="仿宋"/>
          <w:bCs/>
          <w:color w:val="000000" w:themeColor="text1"/>
          <w:kern w:val="0"/>
          <w:szCs w:val="32"/>
          <w:lang w:bidi="ar"/>
          <w14:textFill>
            <w14:solidFill>
              <w14:schemeClr w14:val="tx1"/>
            </w14:solidFill>
          </w14:textFill>
        </w:rPr>
        <w:t>一、</w:t>
      </w:r>
      <w:r>
        <w:rPr>
          <w:rFonts w:hint="eastAsia" w:ascii="仿宋" w:hAnsi="仿宋" w:eastAsia="仿宋" w:cs="仿宋"/>
          <w:color w:val="000000" w:themeColor="text1"/>
          <w:szCs w:val="32"/>
          <w14:textFill>
            <w14:solidFill>
              <w14:schemeClr w14:val="tx1"/>
            </w14:solidFill>
          </w14:textFill>
        </w:rPr>
        <w:t>利益相关识别方</w:t>
      </w:r>
      <w:bookmarkEnd w:id="7"/>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（一）政府</w:t>
      </w:r>
    </w:p>
    <w:p>
      <w:pPr>
        <w:widowControl/>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关注点：遵守国家法律法规，保障生产、环境安全，国有资产保值增值、可持续发展。</w:t>
      </w:r>
    </w:p>
    <w:p>
      <w:pPr>
        <w:widowControl/>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回应措施：参与行业政策、规划制定，遵纪守法经营，专题汇报，接受监督检查及考核，完善安全环保基础设施，完善规章制度建设并严格遵守落实，依法纳税。</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（二）员工</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关注点：员工权益、安全健康、职业发展得到保障，员工得到关爱。</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回应措施：职工代表大会，各级工会，员工参与企业管理的渠道，员工培训，员工意见征集及回应。</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（三）投资者</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关注点：提高股东回报，提高偿债能力，规范公司治理，防范经营风险。</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回应措施：股东大会，投资者交流会，日常管理，信息披露。</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（四）客户</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关注点：提供优质产品，提供优质服务，遵守商业道德，满足多元需求。</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回应措施：客户满意度调查，客户关系管理，客户座谈与走访，客户投诉处理。</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（五）合作伙伴</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关注点：遵守商业道德，公开、公平、公正采购，互利共赢、共同发展。</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回应措施：公开采购信息，加强供应链管理与合作，谈判与交流。</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（六）社区环境</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关注点：参与社区建设，增加社会就业，保护自然环境。</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回应措施：公益项目与志愿者活动，座谈与交流，宣传活动，媒体沟通活动。</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8" w:name="_Toc99373545"/>
      <w:r>
        <w:rPr>
          <w:rFonts w:hint="eastAsia" w:ascii="仿宋" w:hAnsi="仿宋" w:eastAsia="仿宋" w:cs="仿宋"/>
          <w:color w:val="000000" w:themeColor="text1"/>
          <w:szCs w:val="32"/>
          <w14:textFill>
            <w14:solidFill>
              <w14:schemeClr w14:val="tx1"/>
            </w14:solidFill>
          </w14:textFill>
        </w:rPr>
        <w:t>二、股东权益保障</w:t>
      </w:r>
      <w:bookmarkEnd w:id="8"/>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9" w:name="_Toc99373546"/>
      <w:r>
        <w:rPr>
          <w:rFonts w:hint="eastAsia" w:ascii="仿宋" w:hAnsi="仿宋" w:eastAsia="仿宋" w:cs="仿宋"/>
          <w:color w:val="000000" w:themeColor="text1"/>
          <w:szCs w:val="32"/>
          <w14:textFill>
            <w14:solidFill>
              <w14:schemeClr w14:val="tx1"/>
            </w14:solidFill>
          </w14:textFill>
        </w:rPr>
        <w:t>（一）落实监管要求</w:t>
      </w:r>
      <w:bookmarkEnd w:id="9"/>
    </w:p>
    <w:p>
      <w:pPr>
        <w:pStyle w:val="2"/>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公司始终认真贯彻落实证监会、深圳证券交易所等监管机构的相关要求及《公司法》《证券法》《上市公司治理规则》《深圳证券交易所上市公司规范运作指引》等法律法规的指引，完善公司法人治理和制度体系，为公司合法合规及稳健经营筑牢根基。</w:t>
      </w:r>
    </w:p>
    <w:p>
      <w:pPr>
        <w:spacing w:line="560" w:lineRule="exact"/>
        <w:ind w:firstLine="640" w:firstLineChars="200"/>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2021年，江南化工共召开13次董事会会议、8次监事会会议以及6次股东大会，分别就定期报告、重大资产重组、财务公司关联贷款等重要事项进行决议并形成决议性文件，各项会议及定期报告均在规定时间保质按时完成，各项决策程序均合法合规，确保各项披露信息及时、准确、合规。</w:t>
      </w:r>
    </w:p>
    <w:p>
      <w:pPr>
        <w:pStyle w:val="2"/>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对接监管部门，强化上市公司规范治理。保持与深圳证券交易所、安徽证监局、中国上市公司协会、安徽上市公司协会的沟通和联络，配合监管部门的日常问询及书面报告,强化专项自查</w:t>
      </w:r>
      <w:bookmarkStart w:id="68" w:name="_GoBack"/>
      <w:bookmarkEnd w:id="68"/>
      <w:r>
        <w:rPr>
          <w:rFonts w:hint="eastAsia" w:ascii="仿宋" w:hAnsi="仿宋" w:eastAsia="仿宋" w:cs="仿宋"/>
          <w:bCs/>
          <w:color w:val="000000" w:themeColor="text1"/>
          <w:kern w:val="2"/>
          <w:sz w:val="32"/>
          <w:szCs w:val="32"/>
          <w14:textFill>
            <w14:solidFill>
              <w14:schemeClr w14:val="tx1"/>
            </w14:solidFill>
          </w14:textFill>
        </w:rPr>
        <w:t>。</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0" w:name="_Toc99373547"/>
      <w:r>
        <w:rPr>
          <w:rFonts w:hint="eastAsia" w:ascii="仿宋" w:hAnsi="仿宋" w:eastAsia="仿宋" w:cs="仿宋"/>
          <w:color w:val="000000" w:themeColor="text1"/>
          <w:szCs w:val="32"/>
          <w14:textFill>
            <w14:solidFill>
              <w14:schemeClr w14:val="tx1"/>
            </w14:solidFill>
          </w14:textFill>
        </w:rPr>
        <w:t>（二）注重价值创造</w:t>
      </w:r>
      <w:bookmarkEnd w:id="10"/>
    </w:p>
    <w:p>
      <w:pPr>
        <w:pStyle w:val="2"/>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公司及时关注深交所“互动易”平台，接听投资者专线，积极回应投资者咨询，通过多种方式与各类投资者展开互动和交流。2021年度，在深交所“互动易”平台共回答投资者提问5</w:t>
      </w:r>
      <w:r>
        <w:rPr>
          <w:rFonts w:ascii="仿宋" w:hAnsi="仿宋" w:eastAsia="仿宋" w:cs="仿宋"/>
          <w:bCs/>
          <w:color w:val="000000" w:themeColor="text1"/>
          <w:kern w:val="2"/>
          <w:sz w:val="32"/>
          <w:szCs w:val="32"/>
          <w14:textFill>
            <w14:solidFill>
              <w14:schemeClr w14:val="tx1"/>
            </w14:solidFill>
          </w14:textFill>
        </w:rPr>
        <w:t>3</w:t>
      </w:r>
      <w:r>
        <w:rPr>
          <w:rFonts w:hint="eastAsia" w:ascii="仿宋" w:hAnsi="仿宋" w:eastAsia="仿宋" w:cs="仿宋"/>
          <w:bCs/>
          <w:color w:val="000000" w:themeColor="text1"/>
          <w:kern w:val="2"/>
          <w:sz w:val="32"/>
          <w:szCs w:val="32"/>
          <w14:textFill>
            <w14:solidFill>
              <w14:schemeClr w14:val="tx1"/>
            </w14:solidFill>
          </w14:textFill>
        </w:rPr>
        <w:t>条；组织公司2020年度业绩说明会，回答投资者提问27条，回复率100%，为投资者解答各种问题的同时也保证了上市公司与投资者沟通渠道的畅通。</w:t>
      </w:r>
    </w:p>
    <w:p>
      <w:pPr>
        <w:pStyle w:val="2"/>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公司积极面向资本市场，传递“开放、发展、融合、共赢”的积极理念，向资本市场展示公司的价值创造力和强劲发展力。一方面，持续扎根内在价值创造，公司始终脚踏实地做好经营，奋力夯实业务拓展，致力做好产业的高质量发展，持续提升盈利能力和经营业绩。另一方面，着力外在价值体现，积极维护投资者关系，2021年积极参与“走进兵器工业”等上市公司投资者交流活动，使公司价值得到更为有效地解读、传递，着力为股东创造更大价值。</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1" w:name="_Toc99373548"/>
      <w:r>
        <w:rPr>
          <w:rFonts w:hint="eastAsia" w:ascii="仿宋" w:hAnsi="仿宋" w:eastAsia="仿宋" w:cs="仿宋"/>
          <w:color w:val="000000" w:themeColor="text1"/>
          <w:szCs w:val="32"/>
          <w14:textFill>
            <w14:solidFill>
              <w14:schemeClr w14:val="tx1"/>
            </w14:solidFill>
          </w14:textFill>
        </w:rPr>
        <w:t>（三）聚焦投资者合理回报</w:t>
      </w:r>
      <w:bookmarkEnd w:id="11"/>
    </w:p>
    <w:p>
      <w:pPr>
        <w:pStyle w:val="2"/>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公司严格遵循《中国证监会关于进一步落实上市公司现金分红有关事项的通知》等相关规定，积极制定投资者收益分红方案，积极回报股东，重点关注保障中小股东合法权益。公司2008年至2020年累计派现额为9.63亿元。</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2" w:name="_Toc99373549"/>
      <w:r>
        <w:rPr>
          <w:rFonts w:hint="eastAsia" w:ascii="仿宋" w:hAnsi="仿宋" w:eastAsia="仿宋" w:cs="仿宋"/>
          <w:color w:val="000000" w:themeColor="text1"/>
          <w:szCs w:val="32"/>
          <w14:textFill>
            <w14:solidFill>
              <w14:schemeClr w14:val="tx1"/>
            </w14:solidFill>
          </w14:textFill>
        </w:rPr>
        <w:t>三、诚信经营</w:t>
      </w:r>
      <w:bookmarkEnd w:id="12"/>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3" w:name="_Toc99373550"/>
      <w:r>
        <w:rPr>
          <w:rFonts w:hint="eastAsia" w:ascii="仿宋" w:hAnsi="仿宋" w:eastAsia="仿宋" w:cs="仿宋"/>
          <w:color w:val="000000" w:themeColor="text1"/>
          <w:szCs w:val="32"/>
          <w14:textFill>
            <w14:solidFill>
              <w14:schemeClr w14:val="tx1"/>
            </w14:solidFill>
          </w14:textFill>
        </w:rPr>
        <w:t>（一）守法合规体系</w:t>
      </w:r>
      <w:bookmarkEnd w:id="13"/>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严格遵守国家各项法律法规和政策，持续开展深化改革、合规体系建设，从内控、制度建设、规范治理、项目管理、信息披露等5个方面开展工作，全面推进依法经营，在公司树立了法治思维和诚信经营的理念。</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一是坚持</w:t>
      </w:r>
      <w:r>
        <w:rPr>
          <w:rFonts w:ascii="仿宋" w:hAnsi="仿宋" w:eastAsia="仿宋" w:cs="仿宋"/>
          <w:color w:val="000000" w:themeColor="text1"/>
          <w:kern w:val="0"/>
          <w:sz w:val="32"/>
          <w:szCs w:val="32"/>
          <w:lang w:bidi="ar"/>
          <w14:textFill>
            <w14:solidFill>
              <w14:schemeClr w14:val="tx1"/>
            </w14:solidFill>
          </w14:textFill>
        </w:rPr>
        <w:t>遵纪守法、合规经营的原则,认真履行依法纳税义务</w:t>
      </w:r>
      <w:r>
        <w:rPr>
          <w:rFonts w:hint="eastAsia" w:ascii="仿宋" w:hAnsi="仿宋" w:eastAsia="仿宋" w:cs="仿宋"/>
          <w:color w:val="000000" w:themeColor="text1"/>
          <w:kern w:val="0"/>
          <w:sz w:val="32"/>
          <w:szCs w:val="32"/>
          <w:lang w:bidi="ar"/>
          <w14:textFill>
            <w14:solidFill>
              <w14:schemeClr w14:val="tx1"/>
            </w14:solidFill>
          </w14:textFill>
        </w:rPr>
        <w:t>，公司2021年合并纳税人民币56956万元，其中新疆区域21279万元，安徽区域7862万元，四川区域4297万元。</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二是完善内控体系建设，筑牢风险防控底线，股东会、董事会、监事会和经理层科学分工、有效制衡。</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三是从信息披露、公司治理、内幕交易防控、资本运营、募集资金使用、会计核算及财务管理、内控体系运行等9个方面开展全覆盖自查，强化规范运作意识，有效提升规范治理水平。</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四是认真开展普法教育，对管理人员重点是学习与业务相关的法律、法规以及宣贯集团、公司的规章制度；对技能人员主要是开展安全、环保法律法规教育以及操作规程的培训。进一步提高公司全体员工的法律法规意识，以达到合法合规管理，安全有效生产的目标。</w:t>
      </w:r>
    </w:p>
    <w:p>
      <w:pPr>
        <w:pStyle w:val="4"/>
        <w:spacing w:before="0" w:after="0" w:line="560" w:lineRule="exact"/>
        <w:ind w:firstLine="643" w:firstLineChars="200"/>
        <w:rPr>
          <w:rFonts w:ascii="仿宋" w:hAnsi="仿宋" w:eastAsia="仿宋" w:cs="仿宋"/>
          <w:color w:val="000000" w:themeColor="text1"/>
          <w:kern w:val="0"/>
          <w:szCs w:val="32"/>
          <w:lang w:bidi="ar"/>
          <w14:textFill>
            <w14:solidFill>
              <w14:schemeClr w14:val="tx1"/>
            </w14:solidFill>
          </w14:textFill>
        </w:rPr>
      </w:pPr>
      <w:bookmarkStart w:id="14" w:name="_Toc99373551"/>
      <w:r>
        <w:rPr>
          <w:rFonts w:hint="eastAsia" w:ascii="仿宋" w:hAnsi="仿宋" w:eastAsia="仿宋" w:cs="仿宋"/>
          <w:color w:val="000000" w:themeColor="text1"/>
          <w:szCs w:val="32"/>
          <w14:textFill>
            <w14:solidFill>
              <w14:schemeClr w14:val="tx1"/>
            </w14:solidFill>
          </w14:textFill>
        </w:rPr>
        <w:t>（二）党建及党风廉政建设</w:t>
      </w:r>
      <w:bookmarkEnd w:id="14"/>
    </w:p>
    <w:p>
      <w:pPr>
        <w:widowControl/>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公司党委、纪委在兵器工业集团党组、纪检监察组和特能集团党委、纪委领导下，把学习贯彻习近平新时代中国特色社会主义思想和党的十九大及历次全会精神以及习近平总书记系列重要讲话和指示批示精神，作为理论武装的重中之重，在政治上、思想上、行动上与党中央保持高度一致，增强“四个意识”、坚定“四个自信”、做到“两个维护”，围绕庆祝中国共产党成立100周年暨人民兵工创建90周年，围绕党史学习教育，坚持稳中求进总基调，聚焦主责主业，忠诚履职，尽责担当，系统深入推动党的建设、党风廉政建设和反腐败工作，取得了显著成效，公司上下开始呈现“五个明显变化”：各级党组织管党治党主体责任意识和行动自觉明显增强；各级纪委、纪检委员履行监督责任和担当意识明显提升；党员纪律意识和规矩意识明显提高；干部队伍作风明显改进；广大干部职工干事创业劲头明显增强。</w:t>
      </w:r>
    </w:p>
    <w:p>
      <w:pPr>
        <w:spacing w:line="560" w:lineRule="exact"/>
        <w:ind w:firstLine="643"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一是加强理论学习，提升政治站位。</w:t>
      </w:r>
      <w:r>
        <w:rPr>
          <w:rFonts w:hint="eastAsia" w:ascii="仿宋" w:hAnsi="仿宋" w:eastAsia="仿宋" w:cs="仿宋"/>
          <w:color w:val="000000" w:themeColor="text1"/>
          <w:sz w:val="32"/>
          <w:szCs w:val="32"/>
          <w14:textFill>
            <w14:solidFill>
              <w14:schemeClr w14:val="tx1"/>
            </w14:solidFill>
          </w14:textFill>
        </w:rPr>
        <w:t>全年公司党委及各基层党组织理论学习166次，开展研讨137次，落实党委会、支委会、支部大会“第一议题”学习235次。各级党</w:t>
      </w:r>
      <w:r>
        <w:rPr>
          <w:rFonts w:hint="eastAsia" w:ascii="仿宋" w:hAnsi="仿宋" w:eastAsia="仿宋" w:cs="仿宋"/>
          <w:color w:val="000000" w:themeColor="text1"/>
          <w:kern w:val="0"/>
          <w:sz w:val="32"/>
          <w:szCs w:val="32"/>
          <w14:textFill>
            <w14:solidFill>
              <w14:schemeClr w14:val="tx1"/>
            </w14:solidFill>
          </w14:textFill>
        </w:rPr>
        <w:t>组织</w:t>
      </w:r>
      <w:r>
        <w:rPr>
          <w:rFonts w:hint="eastAsia" w:ascii="仿宋" w:hAnsi="仿宋" w:eastAsia="仿宋" w:cs="仿宋"/>
          <w:color w:val="000000" w:themeColor="text1"/>
          <w:sz w:val="32"/>
          <w:szCs w:val="32"/>
          <w14:textFill>
            <w14:solidFill>
              <w14:schemeClr w14:val="tx1"/>
            </w14:solidFill>
          </w14:textFill>
        </w:rPr>
        <w:t>以党史学习教育为契机，通过“三会一课”、主题党日、专题党课等形式，组织党员干部深入贯彻习近平新时代中国特色社会主义思想，认真学习贯彻习近平总书记“七一”重要讲话精神，学习党章党规、《准则》《条例》、中央八项规定精神、兵器工业集团和特能集团23条措施等内容，各级党组织和党员的政治站位逐步提高。</w:t>
      </w:r>
    </w:p>
    <w:p>
      <w:pPr>
        <w:pStyle w:val="2"/>
        <w:jc w:val="center"/>
        <w:rPr>
          <w:rFonts w:eastAsia="仿宋"/>
        </w:rPr>
      </w:pPr>
      <w:r>
        <w:rPr>
          <w:rFonts w:hint="eastAsia" w:eastAsia="仿宋"/>
        </w:rPr>
        <w:drawing>
          <wp:inline distT="0" distB="0" distL="114300" distR="114300">
            <wp:extent cx="5250815" cy="3500755"/>
            <wp:effectExtent l="0" t="0" r="6985" b="4445"/>
            <wp:docPr id="5" name="图片 5" descr="C:/Users/JNHG/AppData/Local/Temp/picturecompress_20220326111413/output_2.jp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JNHG/AppData/Local/Temp/picturecompress_20220326111413/output_2.jpgoutput_2"/>
                    <pic:cNvPicPr>
                      <a:picLocks noChangeAspect="1"/>
                    </pic:cNvPicPr>
                  </pic:nvPicPr>
                  <pic:blipFill>
                    <a:blip r:embed="rId8"/>
                    <a:stretch>
                      <a:fillRect/>
                    </a:stretch>
                  </pic:blipFill>
                  <pic:spPr>
                    <a:xfrm>
                      <a:off x="0" y="0"/>
                      <a:ext cx="5250815" cy="3500755"/>
                    </a:xfrm>
                    <a:prstGeom prst="rect">
                      <a:avLst/>
                    </a:prstGeom>
                  </pic:spPr>
                </pic:pic>
              </a:graphicData>
            </a:graphic>
          </wp:inline>
        </w:drawing>
      </w:r>
    </w:p>
    <w:p>
      <w:pPr>
        <w:jc w:val="center"/>
        <w:rPr>
          <w:sz w:val="28"/>
          <w:szCs w:val="28"/>
        </w:rPr>
      </w:pPr>
      <w:r>
        <w:rPr>
          <w:rFonts w:hint="eastAsia" w:eastAsia="仿宋"/>
          <w:sz w:val="28"/>
          <w:szCs w:val="28"/>
        </w:rPr>
        <w:t>公司党委理论中心组学习党的十九届六中全会精神</w:t>
      </w:r>
    </w:p>
    <w:p>
      <w:pPr>
        <w:pStyle w:val="2"/>
        <w:jc w:val="center"/>
        <w:rPr>
          <w:rFonts w:eastAsia="仿宋"/>
        </w:rPr>
      </w:pPr>
      <w:r>
        <w:rPr>
          <w:rFonts w:hint="eastAsia" w:eastAsia="仿宋"/>
        </w:rPr>
        <w:drawing>
          <wp:inline distT="0" distB="0" distL="114300" distR="114300">
            <wp:extent cx="2532380" cy="1732915"/>
            <wp:effectExtent l="0" t="0" r="7620" b="6985"/>
            <wp:docPr id="10" name="图片 10" descr="C:/Users/JNHG/AppData/Local/Temp/picturecompress_202203261114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JNHG/AppData/Local/Temp/picturecompress_20220326111413/output_1.jpgoutput_1"/>
                    <pic:cNvPicPr>
                      <a:picLocks noChangeAspect="1"/>
                    </pic:cNvPicPr>
                  </pic:nvPicPr>
                  <pic:blipFill>
                    <a:blip r:embed="rId9"/>
                    <a:srcRect t="8790"/>
                    <a:stretch>
                      <a:fillRect/>
                    </a:stretch>
                  </pic:blipFill>
                  <pic:spPr>
                    <a:xfrm>
                      <a:off x="0" y="0"/>
                      <a:ext cx="2532380" cy="1732915"/>
                    </a:xfrm>
                    <a:prstGeom prst="rect">
                      <a:avLst/>
                    </a:prstGeom>
                  </pic:spPr>
                </pic:pic>
              </a:graphicData>
            </a:graphic>
          </wp:inline>
        </w:drawing>
      </w:r>
      <w:r>
        <w:rPr>
          <w:rFonts w:hint="eastAsia" w:eastAsia="仿宋"/>
        </w:rPr>
        <w:t xml:space="preserve"> </w:t>
      </w:r>
      <w:r>
        <w:rPr>
          <w:rFonts w:hint="eastAsia" w:eastAsia="仿宋"/>
        </w:rPr>
        <w:drawing>
          <wp:inline distT="0" distB="0" distL="114300" distR="114300">
            <wp:extent cx="2555875" cy="1704340"/>
            <wp:effectExtent l="0" t="0" r="9525" b="10160"/>
            <wp:docPr id="11" name="图片 11" descr="C:/Users/JNHG/AppData/Local/Temp/picturecompress_202203261113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JNHG/AppData/Local/Temp/picturecompress_20220326111345/output_1.jpgoutput_1"/>
                    <pic:cNvPicPr>
                      <a:picLocks noChangeAspect="1"/>
                    </pic:cNvPicPr>
                  </pic:nvPicPr>
                  <pic:blipFill>
                    <a:blip r:embed="rId10"/>
                    <a:stretch>
                      <a:fillRect/>
                    </a:stretch>
                  </pic:blipFill>
                  <pic:spPr>
                    <a:xfrm>
                      <a:off x="0" y="0"/>
                      <a:ext cx="2555875" cy="1704340"/>
                    </a:xfrm>
                    <a:prstGeom prst="rect">
                      <a:avLst/>
                    </a:prstGeom>
                  </pic:spPr>
                </pic:pic>
              </a:graphicData>
            </a:graphic>
          </wp:inline>
        </w:drawing>
      </w:r>
    </w:p>
    <w:p>
      <w:pPr>
        <w:jc w:val="center"/>
      </w:pPr>
      <w:r>
        <w:rPr>
          <w:rFonts w:hint="eastAsia" w:eastAsia="仿宋"/>
          <w:sz w:val="28"/>
          <w:szCs w:val="28"/>
        </w:rPr>
        <w:t>所属新能源公司和河南华通党组织学习党的十九届六中全会精神</w:t>
      </w:r>
    </w:p>
    <w:p>
      <w:pPr>
        <w:widowControl/>
        <w:spacing w:line="560" w:lineRule="exact"/>
        <w:ind w:firstLine="643"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b/>
          <w:bCs/>
          <w:color w:val="000000" w:themeColor="text1"/>
          <w:kern w:val="0"/>
          <w:sz w:val="32"/>
          <w:szCs w:val="32"/>
          <w:lang w:bidi="ar"/>
          <w14:textFill>
            <w14:solidFill>
              <w14:schemeClr w14:val="tx1"/>
            </w14:solidFill>
          </w14:textFill>
        </w:rPr>
        <w:t>二是全面从严治党，落实各级责任。</w:t>
      </w:r>
      <w:r>
        <w:rPr>
          <w:rFonts w:hint="eastAsia" w:ascii="仿宋" w:hAnsi="仿宋" w:eastAsia="仿宋" w:cs="仿宋"/>
          <w:color w:val="000000" w:themeColor="text1"/>
          <w:sz w:val="32"/>
          <w:szCs w:val="32"/>
          <w14:textFill>
            <w14:solidFill>
              <w14:schemeClr w14:val="tx1"/>
            </w14:solidFill>
          </w14:textFill>
        </w:rPr>
        <w:t>2021年，公司与各级党组织签订了《党建目标责任书》和《党风廉政建设责任书》，制定了《党风廉政建设责任分工》《党建工作考核评价办法》和《党风廉政建设考核评价办法》，建立了基层党组织书记述职制度和基层党组织落实党风廉政建设责任制报告制度，组织各一级子公司负责人进行党风廉政建设谈话，深入落实全面从严治党主体责任。公司制定了年度纪检工作要点，确定纪检工作重点目标和任务，结合实际量身制定“监督计划”，全年突出政治监督和安全生产监督，深入开展日常监督，充分发挥了监督的保障作用。</w:t>
      </w:r>
    </w:p>
    <w:p>
      <w:pPr>
        <w:pStyle w:val="2"/>
        <w:rPr>
          <w:rFonts w:eastAsia="仿宋"/>
        </w:rPr>
      </w:pPr>
      <w:r>
        <w:rPr>
          <w:rFonts w:hint="eastAsia" w:eastAsia="仿宋"/>
        </w:rPr>
        <w:drawing>
          <wp:inline distT="0" distB="0" distL="114300" distR="114300">
            <wp:extent cx="5212080" cy="3265805"/>
            <wp:effectExtent l="0" t="0" r="7620" b="10795"/>
            <wp:docPr id="38" name="图片 38" descr="c637bbe9898bc9a11c2578adb12c7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637bbe9898bc9a11c2578adb12c7c7"/>
                    <pic:cNvPicPr>
                      <a:picLocks noChangeAspect="1"/>
                    </pic:cNvPicPr>
                  </pic:nvPicPr>
                  <pic:blipFill>
                    <a:blip r:embed="rId11"/>
                    <a:stretch>
                      <a:fillRect/>
                    </a:stretch>
                  </pic:blipFill>
                  <pic:spPr>
                    <a:xfrm>
                      <a:off x="0" y="0"/>
                      <a:ext cx="5212080" cy="3265805"/>
                    </a:xfrm>
                    <a:prstGeom prst="rect">
                      <a:avLst/>
                    </a:prstGeom>
                  </pic:spPr>
                </pic:pic>
              </a:graphicData>
            </a:graphic>
          </wp:inline>
        </w:drawing>
      </w:r>
    </w:p>
    <w:p>
      <w:pPr>
        <w:widowControl/>
        <w:spacing w:line="560" w:lineRule="exact"/>
        <w:ind w:firstLine="643"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b/>
          <w:bCs/>
          <w:color w:val="000000" w:themeColor="text1"/>
          <w:kern w:val="0"/>
          <w:sz w:val="32"/>
          <w:szCs w:val="32"/>
          <w:lang w:bidi="ar"/>
          <w14:textFill>
            <w14:solidFill>
              <w14:schemeClr w14:val="tx1"/>
            </w14:solidFill>
          </w14:textFill>
        </w:rPr>
        <w:t>三是严格挺纪在前，加强党的纪律建设。</w:t>
      </w:r>
      <w:r>
        <w:rPr>
          <w:rFonts w:hint="eastAsia" w:ascii="仿宋" w:hAnsi="仿宋" w:eastAsia="仿宋" w:cs="仿宋"/>
          <w:color w:val="000000" w:themeColor="text1"/>
          <w:kern w:val="0"/>
          <w:sz w:val="32"/>
          <w:szCs w:val="32"/>
          <w:lang w:bidi="ar"/>
          <w14:textFill>
            <w14:solidFill>
              <w14:schemeClr w14:val="tx1"/>
            </w14:solidFill>
          </w14:textFill>
        </w:rPr>
        <w:t>制定下发了《纪委转办问题线索办理工作管理办法（试行）》，规范处置问题线索程序。坚持抓早抓小、防微杜渐，充分运用“第一种形态”，2021年，共组织开展集体廉政谈话3次，谈话提醒4人次。针对重要人事任免事项制定了《江南化工重要人事任免事项事先征求纪检部门意见管理办法》，严格把好选人用人的政治关、品行关、能力关、作风关、廉洁关。</w:t>
      </w:r>
    </w:p>
    <w:p>
      <w:pPr>
        <w:widowControl/>
        <w:spacing w:line="560" w:lineRule="exact"/>
        <w:ind w:firstLine="643"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b/>
          <w:bCs/>
          <w:color w:val="000000" w:themeColor="text1"/>
          <w:kern w:val="0"/>
          <w:sz w:val="32"/>
          <w:szCs w:val="32"/>
          <w:lang w:bidi="ar"/>
          <w14:textFill>
            <w14:solidFill>
              <w14:schemeClr w14:val="tx1"/>
            </w14:solidFill>
          </w14:textFill>
        </w:rPr>
        <w:t>四是加强日常监督，确保规范履职。</w:t>
      </w:r>
      <w:r>
        <w:rPr>
          <w:rFonts w:hint="eastAsia" w:ascii="仿宋" w:hAnsi="仿宋" w:eastAsia="仿宋" w:cs="仿宋"/>
          <w:color w:val="000000" w:themeColor="text1"/>
          <w:kern w:val="0"/>
          <w:sz w:val="32"/>
          <w:szCs w:val="32"/>
          <w:lang w:bidi="ar"/>
          <w14:textFill>
            <w14:solidFill>
              <w14:schemeClr w14:val="tx1"/>
            </w14:solidFill>
          </w14:textFill>
        </w:rPr>
        <w:t>在元旦、春节、“五一”“十一”、中秋等重要节日前分别向全公司印发通知，发送廉洁提醒短信，严明节日纪律，重申各项要求，不断提高党员干部廉洁自律意识。节中公司通过公车信息登记、电话抽查、明察暗访等监督方式，组织开展“四风”问题专项监督检查，节后进行自查总结，形成闭环，持续营造“严守纪律、清廉过节”的氛围。组织对各一级分子公司开展了关于中央八项规定精神落实、“三公经费”“小金库”治理等方面的监督检查，“四风”问题整治初见成效。</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pStyle w:val="2"/>
        <w:spacing w:line="560" w:lineRule="exact"/>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numPr>
          <w:ilvl w:val="0"/>
          <w:numId w:val="2"/>
        </w:numPr>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15" w:name="_Toc99373552"/>
      <w:r>
        <w:rPr>
          <w:rFonts w:hint="eastAsia" w:ascii="黑体" w:hAnsi="黑体" w:eastAsia="黑体" w:cs="黑体"/>
          <w:color w:val="000000" w:themeColor="text1"/>
          <w:sz w:val="32"/>
          <w:szCs w:val="32"/>
          <w14:textFill>
            <w14:solidFill>
              <w14:schemeClr w14:val="tx1"/>
            </w14:solidFill>
          </w14:textFill>
        </w:rPr>
        <w:t>人员管理</w:t>
      </w:r>
      <w:bookmarkEnd w:id="15"/>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6" w:name="_Toc99373553"/>
      <w:r>
        <w:rPr>
          <w:rFonts w:hint="eastAsia" w:ascii="仿宋" w:hAnsi="仿宋" w:eastAsia="仿宋" w:cs="仿宋"/>
          <w:color w:val="000000" w:themeColor="text1"/>
          <w:szCs w:val="32"/>
          <w14:textFill>
            <w14:solidFill>
              <w14:schemeClr w14:val="tx1"/>
            </w14:solidFill>
          </w14:textFill>
        </w:rPr>
        <w:t>一、保护员工权益</w:t>
      </w:r>
      <w:bookmarkEnd w:id="16"/>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一是劳动合同签订。</w:t>
      </w:r>
      <w:r>
        <w:rPr>
          <w:rFonts w:hint="eastAsia" w:ascii="仿宋" w:hAnsi="仿宋" w:eastAsia="仿宋" w:cs="仿宋"/>
          <w:color w:val="000000" w:themeColor="text1"/>
          <w:kern w:val="0"/>
          <w:sz w:val="32"/>
          <w:szCs w:val="32"/>
          <w:lang w:bidi="ar"/>
          <w14:textFill>
            <w14:solidFill>
              <w14:schemeClr w14:val="tx1"/>
            </w14:solidFill>
          </w14:textFill>
        </w:rPr>
        <w:t>公司严格遵守《劳动法》《劳动合同法》《社会保险法》等各项法律法规，依法开展劳动合同的签订、续订、变更、终止、解除等业务，建立劳动合同台账。</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二是民主管理。</w:t>
      </w:r>
      <w:r>
        <w:rPr>
          <w:rFonts w:hint="eastAsia" w:ascii="仿宋" w:hAnsi="仿宋" w:eastAsia="仿宋" w:cs="仿宋"/>
          <w:color w:val="000000" w:themeColor="text1"/>
          <w:kern w:val="0"/>
          <w:sz w:val="32"/>
          <w:szCs w:val="32"/>
          <w:lang w:bidi="ar"/>
          <w14:textFill>
            <w14:solidFill>
              <w14:schemeClr w14:val="tx1"/>
            </w14:solidFill>
          </w14:textFill>
        </w:rPr>
        <w:t>公司严格遵守国家劳动与社会保障相关法律法规，奉行平等、非歧视的用工政策，依法保障员工平等就业，对劳动合同制、劳务派遣员工实行同工同酬，平等对待不同种族、性别、宗教信仰和文化背景的员工。</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三是福利薪酬。公司</w:t>
      </w:r>
      <w:r>
        <w:rPr>
          <w:rFonts w:hint="eastAsia" w:ascii="仿宋" w:hAnsi="仿宋" w:eastAsia="仿宋" w:cs="仿宋"/>
          <w:color w:val="000000" w:themeColor="text1"/>
          <w:kern w:val="0"/>
          <w:sz w:val="32"/>
          <w:szCs w:val="32"/>
          <w:lang w:bidi="ar"/>
          <w14:textFill>
            <w14:solidFill>
              <w14:schemeClr w14:val="tx1"/>
            </w14:solidFill>
          </w14:textFill>
        </w:rPr>
        <w:t>坚持工资总额增幅与公司经济效益改善程度同向联动，参照所在地职工平均工资水平和劳动力市场价位等因素合理确定各公司工资总额，制定公司2021年度工资总额方案并组织实施。公司为在职员工均缴纳养老、失业、医疗、工伤、生育保险和住房公积金，并提供住房补贴、误餐补贴、劳保护具、健康体检和生日礼物等福利待遇。</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7" w:name="_Toc99373554"/>
      <w:r>
        <w:rPr>
          <w:rFonts w:hint="eastAsia" w:ascii="仿宋" w:hAnsi="仿宋" w:eastAsia="仿宋" w:cs="仿宋"/>
          <w:color w:val="000000" w:themeColor="text1"/>
          <w:szCs w:val="32"/>
          <w14:textFill>
            <w14:solidFill>
              <w14:schemeClr w14:val="tx1"/>
            </w14:solidFill>
          </w14:textFill>
        </w:rPr>
        <w:t>二、职业健康与安全</w:t>
      </w:r>
      <w:bookmarkEnd w:id="17"/>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8" w:name="_Toc99373555"/>
      <w:r>
        <w:rPr>
          <w:rFonts w:hint="eastAsia" w:ascii="仿宋" w:hAnsi="仿宋" w:eastAsia="仿宋" w:cs="仿宋"/>
          <w:color w:val="000000" w:themeColor="text1"/>
          <w:szCs w:val="32"/>
          <w14:textFill>
            <w14:solidFill>
              <w14:schemeClr w14:val="tx1"/>
            </w14:solidFill>
          </w14:textFill>
        </w:rPr>
        <w:t>（一）职业病防治体系</w:t>
      </w:r>
      <w:bookmarkEnd w:id="18"/>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积极贯彻落实国家职业卫生管理相关法律法规、标准和文件要求，根据国家、地方政府、兵器工业集团、特能集团职业健康安全管理要求，完善职业健康安全管理制度，开展职业健康安全管理认证工作，2021年各生产点均通过GB/T 45001-2020(ISO 45001:2018)职业健康安全管理体系认证。开展职业健康安全评价工作，结合公司职业健康危害因素定期开展员工职业健康检查，规范职业健康危害因素场所员工的上岗前、在岗期间、离岗时职业健康检查规定，定期检查员工职业健康状况。</w:t>
      </w:r>
    </w:p>
    <w:p>
      <w:pPr>
        <w:pStyle w:val="2"/>
        <w:rPr>
          <w:lang w:bidi="ar"/>
        </w:rPr>
      </w:pPr>
      <w:r>
        <w:drawing>
          <wp:inline distT="0" distB="0" distL="0" distR="0">
            <wp:extent cx="2368550" cy="3286760"/>
            <wp:effectExtent l="0" t="0" r="635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2381677" cy="3305093"/>
                    </a:xfrm>
                    <a:prstGeom prst="rect">
                      <a:avLst/>
                    </a:prstGeom>
                  </pic:spPr>
                </pic:pic>
              </a:graphicData>
            </a:graphic>
          </wp:inline>
        </w:drawing>
      </w:r>
      <w:r>
        <w:rPr>
          <w:rFonts w:hint="eastAsia"/>
        </w:rPr>
        <w:t xml:space="preserve"> </w:t>
      </w:r>
      <w:r>
        <w:drawing>
          <wp:inline distT="0" distB="0" distL="0" distR="0">
            <wp:extent cx="2432050" cy="3314700"/>
            <wp:effectExtent l="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a:stretch>
                      <a:fillRect/>
                    </a:stretch>
                  </pic:blipFill>
                  <pic:spPr>
                    <a:xfrm>
                      <a:off x="0" y="0"/>
                      <a:ext cx="2437053" cy="3320664"/>
                    </a:xfrm>
                    <a:prstGeom prst="rect">
                      <a:avLst/>
                    </a:prstGeom>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lang w:bidi="ar"/>
        </w:rPr>
        <w:t>部分公司职业健康安全管理体系认证证书</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19" w:name="_Toc99373556"/>
      <w:r>
        <w:rPr>
          <w:rFonts w:hint="eastAsia" w:ascii="仿宋" w:hAnsi="仿宋" w:eastAsia="仿宋" w:cs="仿宋"/>
          <w:color w:val="000000" w:themeColor="text1"/>
          <w:szCs w:val="32"/>
          <w14:textFill>
            <w14:solidFill>
              <w14:schemeClr w14:val="tx1"/>
            </w14:solidFill>
          </w14:textFill>
        </w:rPr>
        <w:t>（二）2021年职业病防治重点措施</w:t>
      </w:r>
      <w:bookmarkEnd w:id="19"/>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一是建立健全职业健康安全管理体系。开展职业健康安全体系认证，完善职业健康安全管理制度，定期开展职业健康安全评价，辨识公司职业健康危害场所及危害因素，制定相应的管控措施，提高企业职业健康安全认知。</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二是定期委托专业资质机构对各公司现场开展职业健康检测分析，对超限岗位采取设备技术改造或制定防护措施，为员工配备正规劳动防护用品，并监督员工正确佩戴和使用。</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三是严格执行上岗前、在岗期间、离岗时和职业健康检查。按照《职业健康监护技术规范》（GBZ188-2014）要求，对接触职业危害的人员进行定期检查，采取调岗、轮岗的形式，让员工定期脱离危害职业健康的场所，保障员工身体健康。2021年无急性职业中毒事故，无职业病病例发生。</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四是开展年度职业病危害项目申报系统填报工作，按地方政府要求及时报告职业健康疑似病例和职业病情况。</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20" w:name="_Toc99373557"/>
      <w:r>
        <w:rPr>
          <w:rFonts w:hint="eastAsia" w:ascii="仿宋" w:hAnsi="仿宋" w:eastAsia="仿宋" w:cs="仿宋"/>
          <w:color w:val="000000" w:themeColor="text1"/>
          <w:szCs w:val="32"/>
          <w14:textFill>
            <w14:solidFill>
              <w14:schemeClr w14:val="tx1"/>
            </w14:solidFill>
          </w14:textFill>
        </w:rPr>
        <w:t>（三）职业健康安全培训</w:t>
      </w:r>
      <w:bookmarkEnd w:id="20"/>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一是组织职业健康安全管理人员参加职业健康安全管理培训，并取得相应的职业健康安全管理证书。</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二是积极开展《职业病防治法》宣传周活动。按照国家卫生健康委等相关部门要求，积极开展职业健康防控宣传，通过宣传栏、微信、电子显示屏等开展宣传工作。聘请当地职业健康检测机构专业人员开展职业健康知识专题讲座，提高员工职业健康防护知识，增强员工的自我防护意识。</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三是将职业健康安全培训纳入到日常安全培训教育计划，利用常规月度培训、班前会等方式有序推进职业健康安全培训工作。</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21" w:name="_Toc99373558"/>
      <w:r>
        <w:rPr>
          <w:rFonts w:hint="eastAsia" w:ascii="仿宋" w:hAnsi="仿宋" w:eastAsia="仿宋" w:cs="仿宋"/>
          <w:color w:val="000000" w:themeColor="text1"/>
          <w:szCs w:val="32"/>
          <w14:textFill>
            <w14:solidFill>
              <w14:schemeClr w14:val="tx1"/>
            </w14:solidFill>
          </w14:textFill>
        </w:rPr>
        <w:t>三、员工发展与关爱</w:t>
      </w:r>
      <w:bookmarkEnd w:id="21"/>
    </w:p>
    <w:p>
      <w:pPr>
        <w:pStyle w:val="4"/>
        <w:spacing w:before="0" w:after="0" w:line="560" w:lineRule="exact"/>
        <w:ind w:firstLine="643" w:firstLineChars="200"/>
        <w:rPr>
          <w:rFonts w:ascii="仿宋" w:hAnsi="仿宋" w:eastAsia="仿宋" w:cs="仿宋"/>
        </w:rPr>
      </w:pPr>
      <w:bookmarkStart w:id="22" w:name="_Toc99373559"/>
      <w:r>
        <w:rPr>
          <w:rFonts w:hint="eastAsia" w:ascii="仿宋" w:hAnsi="仿宋" w:eastAsia="仿宋" w:cs="仿宋"/>
        </w:rPr>
        <w:t>（一）员工职业发展通道</w:t>
      </w:r>
      <w:bookmarkEnd w:id="22"/>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2021年，按照事业为上、依事择人、人岗相适的原则，对总部部门负责人岗位进行了公开竞聘；重新任命了23家所属公司的78名班子成员，其中6名领导干部跨地区交流任职。不断完善选人用人制度体系，制定下发了公司《中层干部管理办法》《关于进一步加强各分子公司中层干部队伍建设指导意见》，完善了选人用人标准和程序。制定了《优秀干部和骨干人才交流培养工作方案》，畅通干部交流渠道。发现培养锻炼优秀年轻干部，推荐2名优秀年轻干部到特能集团交流，从所属公司交流3名优秀年轻干部到总部工作。选强配齐安全管理队伍，指导所属各涉火公司按要求配齐了安全总监、安全副总监，要求所属公司对班子分工进行调整，明确了班子成员安全工作职责。公司现有兵器工业集团级青年科技带头人1人，特能集团级科技带头人7人，特能集团级青年科技带头人9人。</w:t>
      </w:r>
    </w:p>
    <w:p>
      <w:pPr>
        <w:pStyle w:val="4"/>
        <w:spacing w:before="0" w:after="0" w:line="560" w:lineRule="exact"/>
        <w:ind w:firstLine="643" w:firstLineChars="200"/>
        <w:rPr>
          <w:rFonts w:ascii="仿宋" w:hAnsi="仿宋" w:eastAsia="仿宋" w:cs="仿宋"/>
        </w:rPr>
      </w:pPr>
      <w:bookmarkStart w:id="23" w:name="_Toc99373560"/>
      <w:r>
        <w:rPr>
          <w:rFonts w:hint="eastAsia" w:ascii="仿宋" w:hAnsi="仿宋" w:eastAsia="仿宋" w:cs="仿宋"/>
        </w:rPr>
        <w:t>（二）员工培训及素质提升</w:t>
      </w:r>
      <w:bookmarkEnd w:id="23"/>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制定《安徽江南化工股份有限公司2021年教育培训工作计划》，要求所属公司制定相应培训计划，将安全生产、环保节能教育纳入计划，将新安全生产法、刑法修正案（十一）、应知应会等纳入培训重点内容。制定《安徽江南化工股份有限公司安全生产教育培训工作管理办法》，规定各级各类人员培训内容和学时。</w:t>
      </w:r>
    </w:p>
    <w:p>
      <w:pPr>
        <w:pStyle w:val="2"/>
        <w:rPr>
          <w:rFonts w:eastAsia="仿宋"/>
        </w:rPr>
      </w:pPr>
      <w:r>
        <w:rPr>
          <w:rFonts w:hint="eastAsia" w:eastAsia="仿宋"/>
        </w:rPr>
        <w:drawing>
          <wp:inline distT="0" distB="0" distL="114300" distR="114300">
            <wp:extent cx="5147310" cy="3431540"/>
            <wp:effectExtent l="0" t="0" r="8890" b="10160"/>
            <wp:docPr id="44" name="图片 44" descr="1abfc92abb0efd2fbf3f534061a7bf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abfc92abb0efd2fbf3f534061a7bf64"/>
                    <pic:cNvPicPr>
                      <a:picLocks noChangeAspect="1"/>
                    </pic:cNvPicPr>
                  </pic:nvPicPr>
                  <pic:blipFill>
                    <a:blip r:embed="rId14"/>
                    <a:stretch>
                      <a:fillRect/>
                    </a:stretch>
                  </pic:blipFill>
                  <pic:spPr>
                    <a:xfrm>
                      <a:off x="0" y="0"/>
                      <a:ext cx="5147310" cy="3431540"/>
                    </a:xfrm>
                    <a:prstGeom prst="rect">
                      <a:avLst/>
                    </a:prstGeom>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所属公司组织开展车间班组长综合水平提升培训班</w:t>
      </w:r>
    </w:p>
    <w:p>
      <w:pPr>
        <w:widowControl/>
        <w:spacing w:line="560" w:lineRule="exact"/>
        <w:ind w:firstLine="640" w:firstLineChars="200"/>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w:t>
      </w:r>
      <w:r>
        <w:rPr>
          <w:rFonts w:hint="eastAsia" w:ascii="仿宋" w:hAnsi="仿宋" w:eastAsia="仿宋" w:cs="仿宋"/>
          <w:bCs/>
          <w:color w:val="000000" w:themeColor="text1"/>
          <w:sz w:val="32"/>
          <w:szCs w:val="32"/>
          <w14:textFill>
            <w14:solidFill>
              <w14:schemeClr w14:val="tx1"/>
            </w14:solidFill>
          </w14:textFill>
        </w:rPr>
        <w:t>将学理论和学业务有机结合起来。“书记讲党课”系列课程中，特能集团董事长、党委书记、公司董事长吴振国主讲《从党的百年奋斗历程中汲取精神力量 在新起点上推动百亿集团高质量发展》，公司总裁、党委副书记沈跃华主讲《安全生产法》，公司党委书记、常务副总裁李宏伟主讲《从历史的启示中汲取经验 推动百亿民爆集团高标准建设》，公司党委副书记、纪委书记田波主讲《知敬畏 存戒惧 守底线 做表率》。建立</w:t>
      </w:r>
      <w:r>
        <w:rPr>
          <w:rFonts w:ascii="仿宋" w:hAnsi="仿宋" w:eastAsia="仿宋" w:cs="仿宋"/>
          <w:bCs/>
          <w:color w:val="000000" w:themeColor="text1"/>
          <w:sz w:val="32"/>
          <w:szCs w:val="32"/>
          <w14:textFill>
            <w14:solidFill>
              <w14:schemeClr w14:val="tx1"/>
            </w14:solidFill>
          </w14:textFill>
        </w:rPr>
        <w:t>了</w:t>
      </w:r>
      <w:r>
        <w:rPr>
          <w:rFonts w:hint="eastAsia" w:ascii="仿宋" w:hAnsi="仿宋" w:eastAsia="仿宋" w:cs="仿宋"/>
          <w:color w:val="000000" w:themeColor="text1"/>
          <w:sz w:val="32"/>
          <w:szCs w:val="32"/>
          <w14:textFill>
            <w14:solidFill>
              <w14:schemeClr w14:val="tx1"/>
            </w14:solidFill>
          </w14:textFill>
        </w:rPr>
        <w:t>江南化工总部</w:t>
      </w:r>
      <w:r>
        <w:rPr>
          <w:rFonts w:hint="eastAsia" w:ascii="仿宋" w:hAnsi="仿宋" w:eastAsia="仿宋" w:cs="仿宋"/>
          <w:bCs/>
          <w:color w:val="000000" w:themeColor="text1"/>
          <w:sz w:val="32"/>
          <w:szCs w:val="32"/>
          <w14:textFill>
            <w14:solidFill>
              <w14:schemeClr w14:val="tx1"/>
            </w14:solidFill>
          </w14:textFill>
        </w:rPr>
        <w:t>周学习制度，除了理论学习，还融入了新能源业务、集中采购、新闻写作、节能环保、财务基础知识、上市公司管理，以及廉洁风险防控、换届选举等工作实操培训。</w:t>
      </w:r>
    </w:p>
    <w:p>
      <w:pPr>
        <w:pStyle w:val="4"/>
        <w:spacing w:before="0" w:after="0" w:line="560" w:lineRule="exact"/>
        <w:ind w:firstLine="643" w:firstLineChars="200"/>
        <w:rPr>
          <w:rFonts w:ascii="仿宋" w:hAnsi="仿宋" w:eastAsia="仿宋" w:cs="仿宋"/>
        </w:rPr>
      </w:pPr>
      <w:bookmarkStart w:id="24" w:name="_Toc99373561"/>
      <w:r>
        <w:rPr>
          <w:rFonts w:hint="eastAsia" w:ascii="仿宋" w:hAnsi="仿宋" w:eastAsia="仿宋" w:cs="仿宋"/>
        </w:rPr>
        <w:t>（三）丰富员工生活</w:t>
      </w:r>
      <w:bookmarkEnd w:id="24"/>
    </w:p>
    <w:p>
      <w:pPr>
        <w:pStyle w:val="2"/>
        <w:ind w:firstLine="640" w:firstLineChars="200"/>
        <w:rPr>
          <w:rFonts w:eastAsia="仿宋"/>
        </w:rPr>
      </w:pPr>
      <w:r>
        <w:rPr>
          <w:rFonts w:hint="eastAsia" w:ascii="仿宋" w:hAnsi="仿宋" w:eastAsia="仿宋" w:cs="仿宋"/>
          <w:color w:val="000000" w:themeColor="text1"/>
          <w:sz w:val="32"/>
          <w:szCs w:val="32"/>
          <w14:textFill>
            <w14:solidFill>
              <w14:schemeClr w14:val="tx1"/>
            </w14:solidFill>
          </w14:textFill>
        </w:rPr>
        <w:t>“七一”庆祝活动期间，江南化工总部及所属公司积极组织开展“赓续百年奋进路，特能同声唱未来”红歌大赛。18个公司精心准备，踊跃参加，4万多人观看了红歌视频，近2万人参与了网上投票，为丰富职工业余生活、提升广大干部职工集体荣誉感和归属感奠定了坚实基础。另外，公司总部组织2021年度羽毛球比赛、秋季登山等活动。</w:t>
      </w:r>
      <w:r>
        <w:rPr>
          <w:rFonts w:hint="eastAsia" w:eastAsia="仿宋"/>
        </w:rPr>
        <w:drawing>
          <wp:inline distT="0" distB="0" distL="114300" distR="114300">
            <wp:extent cx="5208905" cy="2679065"/>
            <wp:effectExtent l="0" t="0" r="10795" b="635"/>
            <wp:docPr id="12" name="图片 12" descr="C:/Users/JNHG/AppData/Local/Temp/picturecompress_20220326112039/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JNHG/AppData/Local/Temp/picturecompress_20220326112039/output_1.pngoutput_1"/>
                    <pic:cNvPicPr>
                      <a:picLocks noChangeAspect="1"/>
                    </pic:cNvPicPr>
                  </pic:nvPicPr>
                  <pic:blipFill>
                    <a:blip r:embed="rId15"/>
                    <a:srcRect l="4666" b="12859"/>
                    <a:stretch>
                      <a:fillRect/>
                    </a:stretch>
                  </pic:blipFill>
                  <pic:spPr>
                    <a:xfrm>
                      <a:off x="0" y="0"/>
                      <a:ext cx="5208905" cy="2679065"/>
                    </a:xfrm>
                    <a:prstGeom prst="rect">
                      <a:avLst/>
                    </a:prstGeom>
                  </pic:spPr>
                </pic:pic>
              </a:graphicData>
            </a:graphic>
          </wp:inline>
        </w:drawing>
      </w:r>
    </w:p>
    <w:p>
      <w:pPr>
        <w:jc w:val="center"/>
        <w:rPr>
          <w:rFonts w:eastAsia="仿宋"/>
          <w:sz w:val="28"/>
          <w:szCs w:val="28"/>
        </w:rPr>
      </w:pPr>
      <w:r>
        <w:rPr>
          <w:rFonts w:hint="eastAsia" w:eastAsia="仿宋"/>
          <w:sz w:val="28"/>
          <w:szCs w:val="28"/>
        </w:rPr>
        <w:t>新疆天河干部职工参与红歌大赛</w:t>
      </w:r>
    </w:p>
    <w:p>
      <w:pPr>
        <w:pStyle w:val="2"/>
      </w:pPr>
      <w:r>
        <w:drawing>
          <wp:inline distT="0" distB="0" distL="114300" distR="114300">
            <wp:extent cx="5272405" cy="3514725"/>
            <wp:effectExtent l="0" t="0" r="10795" b="3175"/>
            <wp:docPr id="19" name="图片 19" descr="C:/Users/JNHG/AppData/Local/Temp/picturecompress_202203261122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JNHG/AppData/Local/Temp/picturecompress_20220326112212/output_1.jpgoutput_1"/>
                    <pic:cNvPicPr>
                      <a:picLocks noChangeAspect="1"/>
                    </pic:cNvPicPr>
                  </pic:nvPicPr>
                  <pic:blipFill>
                    <a:blip r:embed="rId16"/>
                    <a:stretch>
                      <a:fillRect/>
                    </a:stretch>
                  </pic:blipFill>
                  <pic:spPr>
                    <a:xfrm>
                      <a:off x="0" y="0"/>
                      <a:ext cx="5272405" cy="3514725"/>
                    </a:xfrm>
                    <a:prstGeom prst="rect">
                      <a:avLst/>
                    </a:prstGeom>
                  </pic:spPr>
                </pic:pic>
              </a:graphicData>
            </a:graphic>
          </wp:inline>
        </w:drawing>
      </w:r>
    </w:p>
    <w:p>
      <w:pPr>
        <w:jc w:val="center"/>
        <w:rPr>
          <w:sz w:val="28"/>
          <w:szCs w:val="28"/>
        </w:rPr>
      </w:pPr>
      <w:r>
        <w:rPr>
          <w:rFonts w:hint="eastAsia" w:eastAsia="仿宋"/>
          <w:sz w:val="28"/>
          <w:szCs w:val="28"/>
        </w:rPr>
        <w:t>江南化工总部干部职工参与羽毛球赛</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江南化工宁国分公司组建了羽毛球队、乒乓球队，并为队员配备羽毛球场地和乒乓球桌等设备，积极举办趣味运动会。南部永生对原职工宿舍进行了改造装修，安装配备了中央空调、热水淋浴、宽带网、冰箱、洗衣机等设施，同时还配备了健身房和篮球场等场地，组织多场职工健身赛、篮球赛等活动，不断提升广大职工获得感和幸福感。湖北帅力、安徽向科、马鞍山公司、天河爆破等所属公司积极利用节假日开展趣味运动会、户外登山、徒步健走等文体活动，引导员工增强体魄、提升凝聚力，以更加饱满的状态投入到工作和生活中。</w:t>
      </w:r>
    </w:p>
    <w:p>
      <w:pPr>
        <w:pStyle w:val="2"/>
        <w:rPr>
          <w:rFonts w:eastAsia="仿宋"/>
        </w:rPr>
      </w:pPr>
      <w:r>
        <w:rPr>
          <w:rFonts w:hint="eastAsia" w:eastAsia="仿宋"/>
        </w:rPr>
        <w:drawing>
          <wp:inline distT="0" distB="0" distL="114300" distR="114300">
            <wp:extent cx="2370455" cy="1778000"/>
            <wp:effectExtent l="0" t="0" r="4445" b="0"/>
            <wp:docPr id="20" name="图片 20" descr="永生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永生1111"/>
                    <pic:cNvPicPr>
                      <a:picLocks noChangeAspect="1"/>
                    </pic:cNvPicPr>
                  </pic:nvPicPr>
                  <pic:blipFill>
                    <a:blip r:embed="rId17"/>
                    <a:stretch>
                      <a:fillRect/>
                    </a:stretch>
                  </pic:blipFill>
                  <pic:spPr>
                    <a:xfrm>
                      <a:off x="0" y="0"/>
                      <a:ext cx="2370455" cy="1778000"/>
                    </a:xfrm>
                    <a:prstGeom prst="rect">
                      <a:avLst/>
                    </a:prstGeom>
                  </pic:spPr>
                </pic:pic>
              </a:graphicData>
            </a:graphic>
          </wp:inline>
        </w:drawing>
      </w:r>
      <w:r>
        <w:rPr>
          <w:rFonts w:hint="eastAsia" w:eastAsia="仿宋"/>
        </w:rPr>
        <w:t xml:space="preserve"> </w:t>
      </w:r>
      <w:r>
        <w:rPr>
          <w:rFonts w:hint="eastAsia" w:eastAsia="仿宋"/>
        </w:rPr>
        <w:drawing>
          <wp:inline distT="0" distB="0" distL="114300" distR="114300">
            <wp:extent cx="2707005" cy="1774825"/>
            <wp:effectExtent l="0" t="0" r="10795" b="3175"/>
            <wp:docPr id="22" name="图片 22" descr="向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向科"/>
                    <pic:cNvPicPr>
                      <a:picLocks noChangeAspect="1"/>
                    </pic:cNvPicPr>
                  </pic:nvPicPr>
                  <pic:blipFill>
                    <a:blip r:embed="rId18"/>
                    <a:stretch>
                      <a:fillRect/>
                    </a:stretch>
                  </pic:blipFill>
                  <pic:spPr>
                    <a:xfrm>
                      <a:off x="0" y="0"/>
                      <a:ext cx="2707005" cy="1774825"/>
                    </a:xfrm>
                    <a:prstGeom prst="rect">
                      <a:avLst/>
                    </a:prstGeom>
                  </pic:spPr>
                </pic:pic>
              </a:graphicData>
            </a:graphic>
          </wp:inline>
        </w:drawing>
      </w:r>
    </w:p>
    <w:p>
      <w:pPr>
        <w:jc w:val="left"/>
        <w:rPr>
          <w:rFonts w:eastAsia="仿宋"/>
          <w:sz w:val="28"/>
          <w:szCs w:val="28"/>
        </w:rPr>
      </w:pPr>
      <w:r>
        <w:rPr>
          <w:rFonts w:hint="eastAsia" w:eastAsia="仿宋"/>
          <w:sz w:val="28"/>
          <w:szCs w:val="28"/>
        </w:rPr>
        <w:t>安徽向科改造一新的员工食堂      安徽向科开展趣味运动会</w:t>
      </w:r>
    </w:p>
    <w:p>
      <w:pPr>
        <w:pStyle w:val="2"/>
        <w:jc w:val="center"/>
      </w:pPr>
      <w:r>
        <w:rPr>
          <w:rFonts w:hint="eastAsia" w:eastAsia="仿宋"/>
        </w:rPr>
        <w:drawing>
          <wp:inline distT="0" distB="0" distL="114300" distR="114300">
            <wp:extent cx="5080635" cy="2632710"/>
            <wp:effectExtent l="0" t="0" r="12065" b="8890"/>
            <wp:docPr id="46" name="图片 46" descr="微信图片_2022032618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20326183615"/>
                    <pic:cNvPicPr>
                      <a:picLocks noChangeAspect="1"/>
                    </pic:cNvPicPr>
                  </pic:nvPicPr>
                  <pic:blipFill>
                    <a:blip r:embed="rId19"/>
                    <a:stretch>
                      <a:fillRect/>
                    </a:stretch>
                  </pic:blipFill>
                  <pic:spPr>
                    <a:xfrm>
                      <a:off x="0" y="0"/>
                      <a:ext cx="5080635" cy="2632710"/>
                    </a:xfrm>
                    <a:prstGeom prst="rect">
                      <a:avLst/>
                    </a:prstGeom>
                  </pic:spPr>
                </pic:pic>
              </a:graphicData>
            </a:graphic>
          </wp:inline>
        </w:drawing>
      </w:r>
    </w:p>
    <w:p>
      <w:pPr>
        <w:spacing w:before="0" w:after="0" w:line="560" w:lineRule="exact"/>
        <w:ind w:firstLine="560" w:firstLineChars="200"/>
        <w:jc w:val="center"/>
        <w:outlineLvl w:val="9"/>
        <w:rPr>
          <w:rFonts w:eastAsia="仿宋" w:asciiTheme="minorHAnsi" w:hAnsiTheme="minorHAnsi"/>
          <w:b w:val="0"/>
          <w:sz w:val="28"/>
          <w:szCs w:val="28"/>
        </w:rPr>
      </w:pPr>
      <w:bookmarkStart w:id="25" w:name="_Toc99373562"/>
      <w:r>
        <w:rPr>
          <w:rFonts w:hint="eastAsia" w:eastAsia="仿宋" w:asciiTheme="minorHAnsi" w:hAnsiTheme="minorHAnsi"/>
          <w:b w:val="0"/>
          <w:sz w:val="28"/>
          <w:szCs w:val="28"/>
        </w:rPr>
        <w:t>马鞍山公司开展职工运动会</w:t>
      </w:r>
      <w:bookmarkEnd w:id="25"/>
    </w:p>
    <w:p>
      <w:pPr>
        <w:pStyle w:val="4"/>
        <w:spacing w:before="0" w:after="0" w:line="560" w:lineRule="exact"/>
        <w:ind w:firstLine="643" w:firstLineChars="200"/>
        <w:rPr>
          <w:rFonts w:ascii="仿宋" w:hAnsi="仿宋" w:eastAsia="仿宋" w:cs="仿宋"/>
        </w:rPr>
      </w:pPr>
      <w:bookmarkStart w:id="26" w:name="_Toc99373563"/>
      <w:r>
        <w:rPr>
          <w:rFonts w:hint="eastAsia" w:ascii="仿宋" w:hAnsi="仿宋" w:eastAsia="仿宋" w:cs="仿宋"/>
        </w:rPr>
        <w:t>（四）困难员工帮扶</w:t>
      </w:r>
      <w:bookmarkEnd w:id="26"/>
    </w:p>
    <w:p>
      <w:pPr>
        <w:widowControl/>
        <w:spacing w:line="560" w:lineRule="exact"/>
        <w:ind w:firstLine="640" w:firstLineChars="200"/>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公司积极利用春节、端午、中秋等时间节点，持续开展对基层困难员工的慰问活动。春节期间，公司总部及所属公司主要领导在节前将慰问金和慰问品送到困难职工手中，并向他们送上节日的祝福。所属公司安徽向科筹集3万余元，用以帮扶公司患病职工。新疆天河为因子女患病致困职工筹集5万余元，帮助困难职工渡过难关。积极开展金秋助学，帮助困难职工子女顺利入学，宁国分公司对考上大学的2名困难职员工子女进行了奖励。</w:t>
      </w:r>
    </w:p>
    <w:p>
      <w:pPr>
        <w:pStyle w:val="2"/>
        <w:jc w:val="center"/>
        <w:rPr>
          <w:rFonts w:eastAsia="仿宋"/>
        </w:rPr>
      </w:pPr>
      <w:r>
        <w:rPr>
          <w:rFonts w:hint="eastAsia" w:eastAsia="仿宋"/>
        </w:rPr>
        <w:drawing>
          <wp:inline distT="0" distB="0" distL="114300" distR="114300">
            <wp:extent cx="5059680" cy="3855085"/>
            <wp:effectExtent l="0" t="0" r="7620" b="5715"/>
            <wp:docPr id="23" name="图片 23" descr="6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40 (2)"/>
                    <pic:cNvPicPr>
                      <a:picLocks noChangeAspect="1"/>
                    </pic:cNvPicPr>
                  </pic:nvPicPr>
                  <pic:blipFill>
                    <a:blip r:embed="rId20"/>
                    <a:stretch>
                      <a:fillRect/>
                    </a:stretch>
                  </pic:blipFill>
                  <pic:spPr>
                    <a:xfrm>
                      <a:off x="0" y="0"/>
                      <a:ext cx="5059680" cy="3855085"/>
                    </a:xfrm>
                    <a:prstGeom prst="rect">
                      <a:avLst/>
                    </a:prstGeom>
                  </pic:spPr>
                </pic:pic>
              </a:graphicData>
            </a:graphic>
          </wp:inline>
        </w:drawing>
      </w:r>
    </w:p>
    <w:p>
      <w:pPr>
        <w:jc w:val="center"/>
        <w:rPr>
          <w:sz w:val="28"/>
          <w:szCs w:val="28"/>
        </w:rPr>
      </w:pPr>
      <w:r>
        <w:rPr>
          <w:rFonts w:hint="eastAsia" w:eastAsia="仿宋"/>
          <w:sz w:val="28"/>
          <w:szCs w:val="28"/>
        </w:rPr>
        <w:t>湖北帅力对困难职工家属开展慰问</w:t>
      </w:r>
    </w:p>
    <w:p>
      <w:pPr>
        <w:pStyle w:val="2"/>
        <w:jc w:val="center"/>
        <w:rPr>
          <w:rFonts w:eastAsia="仿宋"/>
        </w:rPr>
      </w:pPr>
      <w:r>
        <w:rPr>
          <w:rFonts w:hint="eastAsia" w:eastAsia="仿宋"/>
        </w:rPr>
        <w:drawing>
          <wp:inline distT="0" distB="0" distL="114300" distR="114300">
            <wp:extent cx="5039995" cy="3359785"/>
            <wp:effectExtent l="0" t="0" r="1905" b="5715"/>
            <wp:docPr id="24" name="图片 24"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40"/>
                    <pic:cNvPicPr>
                      <a:picLocks noChangeAspect="1"/>
                    </pic:cNvPicPr>
                  </pic:nvPicPr>
                  <pic:blipFill>
                    <a:blip r:embed="rId21"/>
                    <a:stretch>
                      <a:fillRect/>
                    </a:stretch>
                  </pic:blipFill>
                  <pic:spPr>
                    <a:xfrm>
                      <a:off x="0" y="0"/>
                      <a:ext cx="5039995" cy="3359785"/>
                    </a:xfrm>
                    <a:prstGeom prst="rect">
                      <a:avLst/>
                    </a:prstGeom>
                  </pic:spPr>
                </pic:pic>
              </a:graphicData>
            </a:graphic>
          </wp:inline>
        </w:drawing>
      </w:r>
    </w:p>
    <w:p>
      <w:pPr>
        <w:ind w:firstLine="280" w:firstLineChars="100"/>
        <w:jc w:val="center"/>
        <w:rPr>
          <w:sz w:val="28"/>
          <w:szCs w:val="28"/>
        </w:rPr>
      </w:pPr>
      <w:r>
        <w:rPr>
          <w:rFonts w:hint="eastAsia" w:eastAsia="仿宋"/>
          <w:sz w:val="28"/>
          <w:szCs w:val="28"/>
        </w:rPr>
        <w:t>新疆天河困难职工为公司送来锦旗表达对公司帮扶的感谢</w:t>
      </w:r>
    </w:p>
    <w:p>
      <w:pPr>
        <w:pStyle w:val="4"/>
        <w:spacing w:before="0" w:after="0" w:line="560" w:lineRule="exact"/>
        <w:ind w:firstLine="643" w:firstLineChars="200"/>
        <w:rPr>
          <w:rFonts w:ascii="仿宋" w:hAnsi="仿宋" w:eastAsia="仿宋" w:cs="仿宋"/>
        </w:rPr>
      </w:pPr>
      <w:bookmarkStart w:id="27" w:name="_Toc99373564"/>
      <w:r>
        <w:rPr>
          <w:rFonts w:hint="eastAsia" w:ascii="仿宋" w:hAnsi="仿宋" w:eastAsia="仿宋" w:cs="仿宋"/>
        </w:rPr>
        <w:t>（五）基层员工慰问</w:t>
      </w:r>
      <w:bookmarkEnd w:id="27"/>
    </w:p>
    <w:p>
      <w:pPr>
        <w:widowControl/>
        <w:spacing w:line="560" w:lineRule="exact"/>
        <w:ind w:firstLine="640" w:firstLineChars="200"/>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公司坚持开展“冬送温暖、夏送清凉”活动。2021年夏季江南化工所属新疆天河、南部永生、马鞍山公司、湖北金兰、安徽中金立华等公司积极组织开展送清凉活动，组织人员走进基层、走进生产车间和项目部，为一线职工送去西瓜、葡萄、矿泉水、人丹、清凉油等防暑降温物资，对他们高温下的坚守致以敬意。新疆天河爆破工程有限公司多年来持续开展向基层项目一线“冬季送温暖”活动。采购了3万余元当地生产的库尔勒香梨、阿克苏冰糖心苹果和棉被、棉衣等慰问品，为奋战在高原高寒地区的职工送去温暖。</w:t>
      </w:r>
    </w:p>
    <w:p>
      <w:pPr>
        <w:pStyle w:val="2"/>
        <w:jc w:val="center"/>
        <w:rPr>
          <w:rFonts w:eastAsia="仿宋"/>
        </w:rPr>
      </w:pPr>
      <w:r>
        <w:rPr>
          <w:rFonts w:hint="eastAsia" w:eastAsia="仿宋"/>
        </w:rPr>
        <w:drawing>
          <wp:inline distT="0" distB="0" distL="114300" distR="114300">
            <wp:extent cx="2225040" cy="2062480"/>
            <wp:effectExtent l="0" t="0" r="10160" b="7620"/>
            <wp:docPr id="25" name="图片 25" descr="64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40 (3)"/>
                    <pic:cNvPicPr>
                      <a:picLocks noChangeAspect="1"/>
                    </pic:cNvPicPr>
                  </pic:nvPicPr>
                  <pic:blipFill>
                    <a:blip r:embed="rId22"/>
                    <a:srcRect t="21678" b="8817"/>
                    <a:stretch>
                      <a:fillRect/>
                    </a:stretch>
                  </pic:blipFill>
                  <pic:spPr>
                    <a:xfrm>
                      <a:off x="0" y="0"/>
                      <a:ext cx="2225040" cy="2062480"/>
                    </a:xfrm>
                    <a:prstGeom prst="rect">
                      <a:avLst/>
                    </a:prstGeom>
                  </pic:spPr>
                </pic:pic>
              </a:graphicData>
            </a:graphic>
          </wp:inline>
        </w:drawing>
      </w:r>
      <w:r>
        <w:rPr>
          <w:rFonts w:hint="eastAsia" w:eastAsia="仿宋"/>
        </w:rPr>
        <w:drawing>
          <wp:inline distT="0" distB="0" distL="114300" distR="114300">
            <wp:extent cx="2670810" cy="2025015"/>
            <wp:effectExtent l="0" t="0" r="8890" b="6985"/>
            <wp:docPr id="26" name="图片 26" descr="64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640 (4)"/>
                    <pic:cNvPicPr>
                      <a:picLocks noChangeAspect="1"/>
                    </pic:cNvPicPr>
                  </pic:nvPicPr>
                  <pic:blipFill>
                    <a:blip r:embed="rId23"/>
                    <a:srcRect l="11123" r="11907"/>
                    <a:stretch>
                      <a:fillRect/>
                    </a:stretch>
                  </pic:blipFill>
                  <pic:spPr>
                    <a:xfrm>
                      <a:off x="0" y="0"/>
                      <a:ext cx="2670810" cy="2025015"/>
                    </a:xfrm>
                    <a:prstGeom prst="rect">
                      <a:avLst/>
                    </a:prstGeom>
                  </pic:spPr>
                </pic:pic>
              </a:graphicData>
            </a:graphic>
          </wp:inline>
        </w:drawing>
      </w:r>
    </w:p>
    <w:p>
      <w:pPr>
        <w:ind w:firstLine="280" w:firstLineChars="100"/>
        <w:jc w:val="center"/>
        <w:rPr>
          <w:rFonts w:eastAsia="仿宋"/>
          <w:sz w:val="28"/>
          <w:szCs w:val="28"/>
        </w:rPr>
      </w:pPr>
      <w:r>
        <w:rPr>
          <w:rFonts w:hint="eastAsia" w:eastAsia="仿宋"/>
          <w:sz w:val="28"/>
          <w:szCs w:val="28"/>
        </w:rPr>
        <w:t>马鞍山公司和天河爆破向基层员工“送清凉”“送温暖”</w:t>
      </w:r>
    </w:p>
    <w:p>
      <w:pPr>
        <w:rPr>
          <w:rFonts w:eastAsia="仿宋"/>
          <w:sz w:val="28"/>
          <w:szCs w:val="28"/>
        </w:rPr>
      </w:pPr>
    </w:p>
    <w:p>
      <w:pPr>
        <w:rPr>
          <w:rFonts w:eastAsia="仿宋"/>
          <w:sz w:val="28"/>
          <w:szCs w:val="28"/>
        </w:rPr>
        <w:sectPr>
          <w:pgSz w:w="11906" w:h="16838"/>
          <w:pgMar w:top="1440" w:right="1800" w:bottom="1440" w:left="1800" w:header="680" w:footer="992" w:gutter="0"/>
          <w:cols w:space="425" w:num="1"/>
          <w:docGrid w:type="lines" w:linePitch="312" w:charSpace="0"/>
        </w:sectPr>
      </w:pPr>
    </w:p>
    <w:p>
      <w:pPr>
        <w:pStyle w:val="3"/>
        <w:numPr>
          <w:ilvl w:val="0"/>
          <w:numId w:val="2"/>
        </w:numPr>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28" w:name="_Toc99373565"/>
      <w:r>
        <w:rPr>
          <w:rFonts w:hint="eastAsia" w:ascii="黑体" w:hAnsi="黑体" w:eastAsia="黑体" w:cs="黑体"/>
          <w:color w:val="000000" w:themeColor="text1"/>
          <w:sz w:val="32"/>
          <w:szCs w:val="32"/>
          <w14:textFill>
            <w14:solidFill>
              <w14:schemeClr w14:val="tx1"/>
            </w14:solidFill>
          </w14:textFill>
        </w:rPr>
        <w:t>安全管理</w:t>
      </w:r>
      <w:bookmarkEnd w:id="28"/>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29" w:name="_Toc99373566"/>
      <w:r>
        <w:rPr>
          <w:rFonts w:hint="eastAsia" w:ascii="仿宋" w:hAnsi="仿宋" w:eastAsia="仿宋" w:cs="仿宋"/>
          <w:color w:val="000000" w:themeColor="text1"/>
          <w:szCs w:val="32"/>
          <w14:textFill>
            <w14:solidFill>
              <w14:schemeClr w14:val="tx1"/>
            </w14:solidFill>
          </w14:textFill>
        </w:rPr>
        <w:t>一、落实企业安全生产主体责任</w:t>
      </w:r>
      <w:bookmarkEnd w:id="29"/>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江南化工总部调整了安全生产委员会，成立了节能环保委员会，完善了安全环保管理组织架构和各层级各岗位各类人员的安全生产职责，组织制定《安全生产责任制度》和各岗位安全责任履职清单，强化“一岗双责”和“三管三必须”的职责落实。所属公司层层签订了《安全环保目标管理责任状》，强化企业安全生产主体责任和“属地管理、直线责任”的要求。明确了总部领导班子分工和联系对接公司，并进一步对所属公司领导班子进行了调整，各公司和总部联系、沟通的紧密性得到进一步加强，各项管理要求落实更加直接，管理措施落地更加深入，有效促进了安全管理的“一体化”。总部及所属公司实施安全总监制，配置了安全总监、副总监，进一步强化了专项管理、专人管理的安全管理体制。</w:t>
      </w:r>
    </w:p>
    <w:p>
      <w:pPr>
        <w:pStyle w:val="2"/>
        <w:rPr>
          <w:lang w:bidi="ar"/>
        </w:rPr>
      </w:pPr>
      <w:r>
        <w:drawing>
          <wp:inline distT="0" distB="0" distL="0" distR="0">
            <wp:extent cx="5274310" cy="2890520"/>
            <wp:effectExtent l="0" t="0" r="8890" b="5080"/>
            <wp:docPr id="8" name="图片 8" descr="D:\D盘\集团安全部文件\证券投资部资料\上市公司年报披露信息提供\2022年\社会责任报告配图\安委会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D盘\集团安全部文件\证券投资部资料\上市公司年报披露信息提供\2022年\社会责任报告配图\安委会照片.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2891103"/>
                    </a:xfrm>
                    <a:prstGeom prst="rect">
                      <a:avLst/>
                    </a:prstGeom>
                    <a:noFill/>
                    <a:ln>
                      <a:noFill/>
                    </a:ln>
                  </pic:spPr>
                </pic:pic>
              </a:graphicData>
            </a:graphic>
          </wp:inline>
        </w:drawing>
      </w:r>
    </w:p>
    <w:p>
      <w:pPr>
        <w:jc w:val="center"/>
        <w:rPr>
          <w:rFonts w:ascii="仿宋" w:hAnsi="仿宋" w:eastAsia="仿宋" w:cs="仿宋"/>
          <w:sz w:val="28"/>
          <w:szCs w:val="28"/>
          <w:lang w:bidi="ar"/>
        </w:rPr>
      </w:pPr>
      <w:r>
        <w:rPr>
          <w:rFonts w:hint="eastAsia" w:ascii="仿宋" w:hAnsi="仿宋" w:eastAsia="仿宋" w:cs="仿宋"/>
          <w:sz w:val="28"/>
          <w:szCs w:val="28"/>
          <w:lang w:bidi="ar"/>
        </w:rPr>
        <w:t>公司定期组织召开安委会、环委会扩大会议</w:t>
      </w:r>
    </w:p>
    <w:p>
      <w:pPr>
        <w:pStyle w:val="2"/>
        <w:rPr>
          <w:rFonts w:eastAsia="仿宋"/>
        </w:rPr>
      </w:pPr>
      <w:r>
        <w:rPr>
          <w:rFonts w:hint="eastAsia" w:eastAsia="仿宋"/>
        </w:rPr>
        <w:drawing>
          <wp:inline distT="0" distB="0" distL="114300" distR="114300">
            <wp:extent cx="5266690" cy="3267075"/>
            <wp:effectExtent l="0" t="0" r="3810" b="9525"/>
            <wp:docPr id="37" name="图片 37" descr="8c649f60fefcd48eb3811f73f6d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c649f60fefcd48eb3811f73f6d5878"/>
                    <pic:cNvPicPr>
                      <a:picLocks noChangeAspect="1"/>
                    </pic:cNvPicPr>
                  </pic:nvPicPr>
                  <pic:blipFill>
                    <a:blip r:embed="rId25"/>
                    <a:stretch>
                      <a:fillRect/>
                    </a:stretch>
                  </pic:blipFill>
                  <pic:spPr>
                    <a:xfrm>
                      <a:off x="0" y="0"/>
                      <a:ext cx="5266690" cy="3267075"/>
                    </a:xfrm>
                    <a:prstGeom prst="rect">
                      <a:avLst/>
                    </a:prstGeom>
                  </pic:spPr>
                </pic:pic>
              </a:graphicData>
            </a:graphic>
          </wp:inline>
        </w:drawing>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0" w:name="_Toc99373567"/>
      <w:r>
        <w:rPr>
          <w:rFonts w:hint="eastAsia" w:ascii="仿宋" w:hAnsi="仿宋" w:eastAsia="仿宋" w:cs="仿宋"/>
          <w:color w:val="000000" w:themeColor="text1"/>
          <w:szCs w:val="32"/>
          <w14:textFill>
            <w14:solidFill>
              <w14:schemeClr w14:val="tx1"/>
            </w14:solidFill>
          </w14:textFill>
        </w:rPr>
        <w:t>二、</w:t>
      </w:r>
      <w:r>
        <w:rPr>
          <w:rFonts w:hint="eastAsia" w:ascii="仿宋" w:hAnsi="仿宋" w:eastAsia="仿宋" w:cs="仿宋"/>
          <w:color w:val="000000" w:themeColor="text1"/>
          <w:szCs w:val="32"/>
          <w:lang w:val="en"/>
          <w14:textFill>
            <w14:solidFill>
              <w14:schemeClr w14:val="tx1"/>
            </w14:solidFill>
          </w14:textFill>
        </w:rPr>
        <w:t>优化调整产能</w:t>
      </w:r>
      <w:r>
        <w:rPr>
          <w:rFonts w:hint="eastAsia" w:ascii="仿宋" w:hAnsi="仿宋" w:eastAsia="仿宋" w:cs="仿宋"/>
          <w:color w:val="000000" w:themeColor="text1"/>
          <w:szCs w:val="32"/>
          <w14:textFill>
            <w14:solidFill>
              <w14:schemeClr w14:val="tx1"/>
            </w14:solidFill>
          </w14:textFill>
        </w:rPr>
        <w:t>布局</w:t>
      </w:r>
      <w:bookmarkEnd w:id="30"/>
    </w:p>
    <w:p>
      <w:pPr>
        <w:pStyle w:val="22"/>
        <w:spacing w:line="560" w:lineRule="exact"/>
        <w:ind w:firstLine="640"/>
        <w:rPr>
          <w:rFonts w:ascii="仿宋" w:hAnsi="仿宋" w:eastAsia="仿宋" w:cs="仿宋"/>
          <w:color w:val="000000" w:themeColor="text1"/>
          <w:sz w:val="32"/>
          <w14:textFill>
            <w14:solidFill>
              <w14:schemeClr w14:val="tx1"/>
            </w14:solidFill>
          </w14:textFill>
        </w:rPr>
      </w:pPr>
      <w:r>
        <w:rPr>
          <w:rFonts w:hint="eastAsia" w:ascii="仿宋" w:hAnsi="仿宋" w:eastAsia="仿宋" w:cs="仿宋"/>
          <w:color w:val="000000" w:themeColor="text1"/>
          <w:sz w:val="32"/>
          <w:lang w:val="en"/>
          <w14:textFill>
            <w14:solidFill>
              <w14:schemeClr w14:val="tx1"/>
            </w14:solidFill>
          </w14:textFill>
        </w:rPr>
        <w:t>坚决贯彻工信部高质量发展部署要求，积极进行产能优化调整，</w:t>
      </w:r>
      <w:r>
        <w:rPr>
          <w:rFonts w:hint="eastAsia" w:ascii="仿宋" w:hAnsi="仿宋" w:eastAsia="仿宋" w:cs="仿宋"/>
          <w:color w:val="000000" w:themeColor="text1"/>
          <w:sz w:val="32"/>
          <w14:textFill>
            <w14:solidFill>
              <w14:schemeClr w14:val="tx1"/>
            </w14:solidFill>
          </w14:textFill>
        </w:rPr>
        <w:t>加快向服务制造型转变</w:t>
      </w:r>
      <w:r>
        <w:rPr>
          <w:rFonts w:hint="eastAsia" w:ascii="仿宋" w:hAnsi="仿宋" w:eastAsia="仿宋" w:cs="仿宋"/>
          <w:color w:val="000000" w:themeColor="text1"/>
          <w:sz w:val="32"/>
          <w:lang w:val="en"/>
          <w14:textFill>
            <w14:solidFill>
              <w14:schemeClr w14:val="tx1"/>
            </w14:solidFill>
          </w14:textFill>
        </w:rPr>
        <w:t>。</w:t>
      </w:r>
      <w:r>
        <w:rPr>
          <w:rFonts w:hint="eastAsia" w:ascii="仿宋" w:hAnsi="仿宋" w:eastAsia="仿宋" w:cs="仿宋"/>
          <w:color w:val="000000" w:themeColor="text1"/>
          <w:sz w:val="32"/>
          <w14:textFill>
            <w14:solidFill>
              <w14:schemeClr w14:val="tx1"/>
            </w14:solidFill>
          </w14:textFill>
        </w:rPr>
        <w:t>一方面按照市场需要调整产能布局，提升产能释放率，公司2021年炸药产能利用率达到</w:t>
      </w:r>
      <w:r>
        <w:rPr>
          <w:rFonts w:ascii="仿宋" w:hAnsi="仿宋" w:eastAsia="仿宋" w:cs="仿宋"/>
          <w:color w:val="000000" w:themeColor="text1"/>
          <w:sz w:val="32"/>
          <w14:textFill>
            <w14:solidFill>
              <w14:schemeClr w14:val="tx1"/>
            </w14:solidFill>
          </w14:textFill>
        </w:rPr>
        <w:t>95.03</w:t>
      </w:r>
      <w:r>
        <w:rPr>
          <w:rFonts w:hint="eastAsia" w:ascii="仿宋" w:hAnsi="仿宋" w:eastAsia="仿宋" w:cs="仿宋"/>
          <w:color w:val="000000" w:themeColor="text1"/>
          <w:sz w:val="32"/>
          <w14:textFill>
            <w14:solidFill>
              <w14:schemeClr w14:val="tx1"/>
            </w14:solidFill>
          </w14:textFill>
        </w:rPr>
        <w:t>%，产能充分释放；另一方面</w:t>
      </w:r>
      <w:r>
        <w:rPr>
          <w:rFonts w:hint="eastAsia" w:ascii="仿宋" w:hAnsi="仿宋" w:eastAsia="仿宋" w:cs="仿宋"/>
          <w:bCs/>
          <w:color w:val="000000" w:themeColor="text1"/>
          <w:sz w:val="32"/>
          <w14:textFill>
            <w14:solidFill>
              <w14:schemeClr w14:val="tx1"/>
            </w14:solidFill>
          </w14:textFill>
        </w:rPr>
        <w:t>着力提升公司现场混装炸药的产能释放能力，增强公司爆破一体化服务能力。</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1" w:name="_Toc99373568"/>
      <w:r>
        <w:rPr>
          <w:rFonts w:hint="eastAsia" w:ascii="仿宋" w:hAnsi="仿宋" w:eastAsia="仿宋" w:cs="仿宋"/>
          <w:color w:val="000000" w:themeColor="text1"/>
          <w:szCs w:val="32"/>
          <w14:textFill>
            <w14:solidFill>
              <w14:schemeClr w14:val="tx1"/>
            </w14:solidFill>
          </w14:textFill>
        </w:rPr>
        <w:t>三、</w:t>
      </w:r>
      <w:r>
        <w:rPr>
          <w:rFonts w:hint="eastAsia" w:ascii="仿宋" w:hAnsi="仿宋" w:eastAsia="仿宋" w:cs="仿宋"/>
          <w:bCs/>
          <w:color w:val="000000" w:themeColor="text1"/>
          <w:szCs w:val="32"/>
          <w14:textFill>
            <w14:solidFill>
              <w14:schemeClr w14:val="tx1"/>
            </w14:solidFill>
          </w14:textFill>
        </w:rPr>
        <w:t>科技创新驱动安全发展</w:t>
      </w:r>
      <w:bookmarkEnd w:id="31"/>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持续提升民爆生产的本质安全性，提升自动化、智能化生产能力和水平。公司持续加大技术改造投入，根据年初制定的安全、环保改造计划，所属公司有序推进各项安全、环保技术改造。今年以来，新疆天河新建膨化炸药生产线通过验收，震源药柱生产线药柱压制、105-3号塑化、107-2号热封包装均实现自动化改造，并取得安全生产许可；拜城地面站、库车地面站、若羌地面站实施生产线扩能改造；湖北帅力新建粉状乳化炸药生产线已建设完成，并通过主管部门安全生产条件核查；导爆索生产线正在进行涂塑工序抗爆间室改造；河南华通胶状乳化炸药生产线技术改造和两次扩能项目通过主管部门安全生产条件核查；安徽区域和南部永生均完成生产线装车系统的自动化改造；南理工科化完成了基础雷管自动收盒、入盒改造。2021年公司共完成16项新建和安全技术改造项目，累计投入9685.3万元，较大地提升了生产线的自动化水平，降低了作业工序的劳动强度，提升了本质安全水平。</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2" w:name="_Toc99373569"/>
      <w:r>
        <w:rPr>
          <w:rFonts w:hint="eastAsia" w:ascii="仿宋" w:hAnsi="仿宋" w:eastAsia="仿宋" w:cs="仿宋"/>
          <w:color w:val="000000" w:themeColor="text1"/>
          <w:szCs w:val="32"/>
          <w14:textFill>
            <w14:solidFill>
              <w14:schemeClr w14:val="tx1"/>
            </w14:solidFill>
          </w14:textFill>
        </w:rPr>
        <w:t>四、提升安全体系化和标准化建设</w:t>
      </w:r>
      <w:bookmarkEnd w:id="32"/>
    </w:p>
    <w:p>
      <w:pPr>
        <w:widowControl/>
        <w:spacing w:line="560" w:lineRule="exact"/>
        <w:ind w:firstLine="640" w:firstLineChars="200"/>
        <w:jc w:val="left"/>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2021年结合兵器工业集团、特能集团体系化文件及相关制度的要求，组织所属公司建立健全了相关安全管理制度，制定并实施了危险作业岗位和有毒有害岗位补贴政策；对所属公司96处重大危险源、127个民爆生产点的3-9人危险作业场所进行了全面排查和梳理，建立了相应的分级管控体系和措施；对公司公务车辆、危险品运输车辆、工程车辆等所有车辆安全管控职责、措施提出了明确的要求；对生产现场安全管控、视频监控及视频回放监管作了具体的部署和安排。通过各项管理制度的补充和完善，进一步提升了安全管理的系统性、全面性。</w:t>
      </w:r>
    </w:p>
    <w:p>
      <w:pPr>
        <w:spacing w:line="560" w:lineRule="exact"/>
        <w:ind w:firstLine="640" w:firstLineChars="200"/>
        <w:jc w:val="left"/>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公司在原有安全生产管理体系的基础上，从“大安全系统”出发，把各个组织层级作为安全管理的主体，明确了总部、所属公司、车间（项目）、班组、操作者“五个层级”的安全生产责任主体，把产品全生命周期各个业务环节作为安全管控的对象，把人、机、品、法、环、运、急、制八个要素具体化为安全管控内容，逐步向体系完整、架构清晰、流程顺畅、责任明确、运行高效的矩阵式安全生产责任共同体迈进，以最终实现全层级、全流程、全要素、全员参与的安全管理，真正做到凡事有章可循，凡事有人负责，凡事有据可查，凡事有人检查考核，全面提升公司安全生产管理能力。</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编制了“安全生产标准化建设实施方案”，制定了《安全可视化实施手册》并统一推进实施，通过安全生产标准化建设，各生产点安全管理能力和现场管理水平有较大提升，获得行业兄弟单位的高度肯定，并接待多次外部单位的观摩学习。公司现有11家生产点通过省级主管部门的达标考评。</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3" w:name="_Toc99373570"/>
      <w:r>
        <w:rPr>
          <w:rFonts w:hint="eastAsia" w:ascii="仿宋" w:hAnsi="仿宋" w:eastAsia="仿宋" w:cs="仿宋"/>
          <w:bCs/>
          <w:color w:val="000000" w:themeColor="text1"/>
          <w:kern w:val="0"/>
          <w:szCs w:val="32"/>
          <w:lang w:bidi="ar"/>
          <w14:textFill>
            <w14:solidFill>
              <w14:schemeClr w14:val="tx1"/>
            </w14:solidFill>
          </w14:textFill>
        </w:rPr>
        <w:t>五、加强安全监督检查</w:t>
      </w:r>
      <w:bookmarkEnd w:id="33"/>
    </w:p>
    <w:p>
      <w:pPr>
        <w:pStyle w:val="15"/>
        <w:widowControl/>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（一）2021年由兵器工业集团组织对公司开展了4轮安全生产风险隐患督导检查，检查累计提出362项安全隐患问题，已完成357项，剩余5项问题正在有序推进整改。</w:t>
      </w:r>
    </w:p>
    <w:p>
      <w:pPr>
        <w:pStyle w:val="15"/>
        <w:widowControl/>
        <w:spacing w:line="560" w:lineRule="exact"/>
        <w:ind w:firstLine="640" w:firstLineChars="200"/>
        <w:jc w:val="both"/>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二）2021年所属公司接受政府部门及行业主管部门安全检查督查187次，累计检查提出405项隐患问题，已全部整改完成。其中工信部安全生产司对公司所属新疆天河、漳州久依久开展了安全督查检查，在对新疆天河检查期间，安全司副司长卞明尧对新疆天河近年来工业炸药生产线自动化、智能化改造，震源药柱自主创新建设、自动化生产线等安全技术改造、提升本质安全水平等相关安全生产工作给予了充分的肯定。</w:t>
      </w:r>
    </w:p>
    <w:p>
      <w:pPr>
        <w:pStyle w:val="15"/>
        <w:widowControl/>
        <w:spacing w:line="560" w:lineRule="exact"/>
        <w:ind w:firstLine="560" w:firstLineChars="200"/>
        <w:jc w:val="center"/>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28"/>
          <w:szCs w:val="28"/>
          <w14:textFill>
            <w14:solidFill>
              <w14:schemeClr w14:val="tx1"/>
            </w14:solidFill>
          </w14:textFill>
        </w:rPr>
        <w:drawing>
          <wp:anchor distT="0" distB="0" distL="0" distR="0" simplePos="0" relativeHeight="251664384" behindDoc="0" locked="0" layoutInCell="1" allowOverlap="1">
            <wp:simplePos x="0" y="0"/>
            <wp:positionH relativeFrom="column">
              <wp:posOffset>112395</wp:posOffset>
            </wp:positionH>
            <wp:positionV relativeFrom="paragraph">
              <wp:posOffset>154305</wp:posOffset>
            </wp:positionV>
            <wp:extent cx="5274310" cy="3515995"/>
            <wp:effectExtent l="0" t="0" r="8890" b="1905"/>
            <wp:wrapTopAndBottom/>
            <wp:docPr id="13" name="图片 13" descr="D:\D盘\集团安全部文件\证券投资部资料\上市公司年报披露信息提供\2022年\社会责任报告配图\工信部到新疆天河检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D盘\集团安全部文件\证券投资部资料\上市公司年报披露信息提供\2022年\社会责任报告配图\工信部到新疆天河检查.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3516207"/>
                    </a:xfrm>
                    <a:prstGeom prst="rect">
                      <a:avLst/>
                    </a:prstGeom>
                    <a:noFill/>
                    <a:ln>
                      <a:noFill/>
                    </a:ln>
                  </pic:spPr>
                </pic:pic>
              </a:graphicData>
            </a:graphic>
          </wp:anchor>
        </w:drawing>
      </w:r>
      <w:r>
        <w:rPr>
          <w:rFonts w:hint="eastAsia" w:ascii="仿宋" w:hAnsi="仿宋" w:eastAsia="仿宋" w:cs="仿宋"/>
          <w:bCs/>
          <w:color w:val="000000" w:themeColor="text1"/>
          <w:kern w:val="2"/>
          <w:sz w:val="28"/>
          <w:szCs w:val="28"/>
          <w14:textFill>
            <w14:solidFill>
              <w14:schemeClr w14:val="tx1"/>
            </w14:solidFill>
          </w14:textFill>
        </w:rPr>
        <w:t>工信部对所属公司新疆天河开展“双随机一公开”检查</w:t>
      </w:r>
    </w:p>
    <w:p>
      <w:pPr>
        <w:pStyle w:val="15"/>
        <w:widowControl/>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三）江南化工总部根据公司管理需要和上级公司相关要求，组织对所属公司、项目部开展“两会”“五一”“安全生产月”、建党100周年前期等特殊时段和日常安全环保监督检查工作，共计开展80余次安全环保监督检查，累计提出181项隐患问题，目前已全部完成整改。</w:t>
      </w:r>
    </w:p>
    <w:p>
      <w:pPr>
        <w:pStyle w:val="15"/>
        <w:widowControl/>
        <w:spacing w:line="560" w:lineRule="exact"/>
        <w:ind w:firstLine="640" w:firstLineChars="200"/>
        <w:rPr>
          <w:rFonts w:ascii="仿宋" w:hAnsi="仿宋" w:eastAsia="仿宋" w:cs="仿宋"/>
          <w:bCs/>
          <w:color w:val="000000" w:themeColor="text1"/>
          <w:kern w:val="2"/>
          <w:sz w:val="32"/>
          <w:szCs w:val="32"/>
          <w14:textFill>
            <w14:solidFill>
              <w14:schemeClr w14:val="tx1"/>
            </w14:solidFill>
          </w14:textFill>
        </w:rPr>
      </w:pPr>
      <w:r>
        <w:rPr>
          <w:rFonts w:hint="eastAsia" w:ascii="仿宋" w:hAnsi="仿宋" w:eastAsia="仿宋" w:cs="仿宋"/>
          <w:bCs/>
          <w:color w:val="000000" w:themeColor="text1"/>
          <w:kern w:val="2"/>
          <w:sz w:val="32"/>
          <w:szCs w:val="32"/>
          <w14:textFill>
            <w14:solidFill>
              <w14:schemeClr w14:val="tx1"/>
            </w14:solidFill>
          </w14:textFill>
        </w:rPr>
        <w:t>（四）2021年所属公司按照月度自查、日常巡查检查等方式对本公司生产线、风（光）电场、爆破作业现场、矿山施工现场、危险品仓库区等场所进行检查，对重大危险源、关键设备、专用设备、消防设施、运输作业等关键管理措施落实情况进行检查。所属公司共计开展自查1541次，累计发现隐患问题6895项，均有序进行整改。</w:t>
      </w:r>
    </w:p>
    <w:p>
      <w:pPr>
        <w:widowControl/>
        <w:spacing w:line="560" w:lineRule="exact"/>
        <w:ind w:firstLine="640" w:firstLineChars="200"/>
        <w:jc w:val="left"/>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公司对自查问题均进行了分类分析，以全面审视不足和查找薄弱环节。一是从“产品设计、工艺安全、教育培训、设备设施、辅助环节”等方面对发现隐患进行了分类处理；二是从“履职不到位、认知不到位、技术不到位、资金不到位”等隐患产生原因进行分析，并对“履职不到位”的情况采取了处罚、约谈、通报批评、教育等措施，进一步提升了各级人员履职能力。</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4" w:name="_Toc99373571"/>
      <w:r>
        <w:rPr>
          <w:rFonts w:hint="eastAsia" w:ascii="仿宋" w:hAnsi="仿宋" w:eastAsia="仿宋" w:cs="仿宋"/>
          <w:color w:val="000000" w:themeColor="text1"/>
          <w:szCs w:val="32"/>
          <w14:textFill>
            <w14:solidFill>
              <w14:schemeClr w14:val="tx1"/>
            </w14:solidFill>
          </w14:textFill>
        </w:rPr>
        <w:t>六、深化安全教育培训</w:t>
      </w:r>
      <w:bookmarkEnd w:id="34"/>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公司在党委会上学习讨论安全议题5次，举办了安全专题读书班，并由总裁领学和解读了新《安全生产法》。各所属公司对新《安全生产法》《刑法修正案（十一）》等法律法规、安全操作规程、炸药基础知识、消防应急相关知识、禁限行为、危货道路运输、技能等级、特种设备作业规范、安全管理知识、爆破三大员管理要求等方面组织了内、外部培训共计791次，参加培训20340人次。安全月期间，组织所属公司积极开展形式多样的“安全生产月”主题活动。</w:t>
      </w:r>
    </w:p>
    <w:p>
      <w:pPr>
        <w:pStyle w:val="2"/>
        <w:jc w:val="center"/>
        <w:rPr>
          <w:lang w:bidi="ar"/>
        </w:rPr>
      </w:pPr>
      <w:r>
        <w:drawing>
          <wp:inline distT="0" distB="0" distL="0" distR="0">
            <wp:extent cx="5274310" cy="2959100"/>
            <wp:effectExtent l="0" t="0" r="2540" b="0"/>
            <wp:docPr id="2" name="图片 2" descr="D:\D盘\集团安全部文件\证券投资部资料\上市公司年报披露信息提供\2022年\社会责任报告配图\沈总培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D盘\集团安全部文件\证券投资部资料\上市公司年报披露信息提供\2022年\社会责任报告配图\沈总培训.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4310" cy="2959474"/>
                    </a:xfrm>
                    <a:prstGeom prst="rect">
                      <a:avLst/>
                    </a:prstGeom>
                    <a:noFill/>
                    <a:ln>
                      <a:noFill/>
                    </a:ln>
                  </pic:spPr>
                </pic:pic>
              </a:graphicData>
            </a:graphic>
          </wp:inline>
        </w:drawing>
      </w:r>
    </w:p>
    <w:p>
      <w:pPr>
        <w:jc w:val="center"/>
      </w:pPr>
      <w:r>
        <w:rPr>
          <w:rFonts w:hint="eastAsia" w:ascii="仿宋" w:hAnsi="仿宋" w:eastAsia="仿宋" w:cs="仿宋"/>
          <w:sz w:val="28"/>
          <w:szCs w:val="28"/>
          <w:lang w:bidi="ar"/>
        </w:rPr>
        <w:t>江南化工总裁沈跃华领学和解读新《安全生产法》</w:t>
      </w:r>
    </w:p>
    <w:p>
      <w:pPr>
        <w:jc w:val="center"/>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sz w:val="28"/>
          <w:szCs w:val="28"/>
          <w:lang w:bidi="ar"/>
        </w:rPr>
        <w:drawing>
          <wp:anchor distT="0" distB="0" distL="114300" distR="114300" simplePos="0" relativeHeight="251666432" behindDoc="0" locked="0" layoutInCell="1" allowOverlap="1">
            <wp:simplePos x="0" y="0"/>
            <wp:positionH relativeFrom="column">
              <wp:posOffset>2799715</wp:posOffset>
            </wp:positionH>
            <wp:positionV relativeFrom="paragraph">
              <wp:posOffset>208280</wp:posOffset>
            </wp:positionV>
            <wp:extent cx="2788285" cy="1983105"/>
            <wp:effectExtent l="0" t="0" r="5715" b="10795"/>
            <wp:wrapNone/>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28"/>
                    <a:stretch>
                      <a:fillRect/>
                    </a:stretch>
                  </pic:blipFill>
                  <pic:spPr>
                    <a:xfrm>
                      <a:off x="0" y="0"/>
                      <a:ext cx="2788285" cy="1983105"/>
                    </a:xfrm>
                    <a:prstGeom prst="rect">
                      <a:avLst/>
                    </a:prstGeom>
                    <a:noFill/>
                    <a:ln>
                      <a:noFill/>
                    </a:ln>
                  </pic:spPr>
                </pic:pic>
              </a:graphicData>
            </a:graphic>
          </wp:anchor>
        </w:drawing>
      </w:r>
      <w:r>
        <w:rPr>
          <w:rFonts w:hint="eastAsia" w:ascii="仿宋" w:hAnsi="仿宋" w:eastAsia="仿宋" w:cs="仿宋"/>
          <w:sz w:val="28"/>
          <w:szCs w:val="28"/>
          <w:lang w:bidi="ar"/>
        </w:rPr>
        <w:drawing>
          <wp:anchor distT="0" distB="0" distL="114300" distR="114300" simplePos="0" relativeHeight="251665408" behindDoc="0" locked="0" layoutInCell="1" allowOverlap="1">
            <wp:simplePos x="0" y="0"/>
            <wp:positionH relativeFrom="column">
              <wp:posOffset>-105410</wp:posOffset>
            </wp:positionH>
            <wp:positionV relativeFrom="paragraph">
              <wp:posOffset>205740</wp:posOffset>
            </wp:positionV>
            <wp:extent cx="2720975" cy="1964690"/>
            <wp:effectExtent l="0" t="0" r="9525" b="3810"/>
            <wp:wrapTopAndBottom/>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29"/>
                    <a:stretch>
                      <a:fillRect/>
                    </a:stretch>
                  </pic:blipFill>
                  <pic:spPr>
                    <a:xfrm>
                      <a:off x="0" y="0"/>
                      <a:ext cx="2720975" cy="1964690"/>
                    </a:xfrm>
                    <a:prstGeom prst="rect">
                      <a:avLst/>
                    </a:prstGeom>
                    <a:noFill/>
                    <a:ln>
                      <a:noFill/>
                    </a:ln>
                  </pic:spPr>
                </pic:pic>
              </a:graphicData>
            </a:graphic>
          </wp:anchor>
        </w:drawing>
      </w:r>
      <w:r>
        <w:rPr>
          <w:rFonts w:hint="eastAsia" w:ascii="仿宋" w:hAnsi="仿宋" w:eastAsia="仿宋" w:cs="仿宋"/>
          <w:sz w:val="28"/>
          <w:szCs w:val="28"/>
          <w:lang w:bidi="ar"/>
        </w:rPr>
        <w:t>所属公司开展安全月主题活动</w:t>
      </w:r>
    </w:p>
    <w:p>
      <w:pPr>
        <w:widowControl/>
        <w:spacing w:line="560" w:lineRule="exact"/>
        <w:jc w:val="center"/>
        <w:rPr>
          <w:rFonts w:ascii="仿宋" w:hAnsi="仿宋" w:eastAsia="仿宋" w:cs="仿宋"/>
          <w:color w:val="000000" w:themeColor="text1"/>
          <w:kern w:val="0"/>
          <w:sz w:val="28"/>
          <w:szCs w:val="28"/>
          <w:lang w:bidi="ar"/>
          <w14:textFill>
            <w14:solidFill>
              <w14:schemeClr w14:val="tx1"/>
            </w14:solidFill>
          </w14:textFill>
        </w:rPr>
      </w:pPr>
      <w:r>
        <w:rPr>
          <w:rFonts w:hint="eastAsia" w:ascii="仿宋" w:hAnsi="仿宋" w:eastAsia="仿宋" w:cs="仿宋"/>
          <w:color w:val="000000" w:themeColor="text1"/>
          <w:kern w:val="0"/>
          <w:sz w:val="28"/>
          <w:szCs w:val="28"/>
          <w:lang w:bidi="ar"/>
          <w14:textFill>
            <w14:solidFill>
              <w14:schemeClr w14:val="tx1"/>
            </w14:solidFill>
          </w14:textFill>
        </w:rPr>
        <w:drawing>
          <wp:anchor distT="0" distB="0" distL="114300" distR="114300" simplePos="0" relativeHeight="251660288" behindDoc="0" locked="0" layoutInCell="1" allowOverlap="1">
            <wp:simplePos x="0" y="0"/>
            <wp:positionH relativeFrom="column">
              <wp:posOffset>-69215</wp:posOffset>
            </wp:positionH>
            <wp:positionV relativeFrom="paragraph">
              <wp:posOffset>103505</wp:posOffset>
            </wp:positionV>
            <wp:extent cx="5637530" cy="3756660"/>
            <wp:effectExtent l="0" t="0" r="1270" b="2540"/>
            <wp:wrapTopAndBottom/>
            <wp:docPr id="47" name="图片 47" descr="微信图片_2022032618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20326183838"/>
                    <pic:cNvPicPr>
                      <a:picLocks noChangeAspect="1"/>
                    </pic:cNvPicPr>
                  </pic:nvPicPr>
                  <pic:blipFill>
                    <a:blip r:embed="rId30"/>
                    <a:stretch>
                      <a:fillRect/>
                    </a:stretch>
                  </pic:blipFill>
                  <pic:spPr>
                    <a:xfrm>
                      <a:off x="0" y="0"/>
                      <a:ext cx="5637530" cy="3756660"/>
                    </a:xfrm>
                    <a:prstGeom prst="rect">
                      <a:avLst/>
                    </a:prstGeom>
                  </pic:spPr>
                </pic:pic>
              </a:graphicData>
            </a:graphic>
          </wp:anchor>
        </w:drawing>
      </w:r>
      <w:r>
        <w:rPr>
          <w:rFonts w:hint="eastAsia" w:ascii="仿宋" w:hAnsi="仿宋" w:eastAsia="仿宋" w:cs="仿宋"/>
          <w:color w:val="000000" w:themeColor="text1"/>
          <w:kern w:val="0"/>
          <w:sz w:val="28"/>
          <w:szCs w:val="28"/>
          <w:lang w:bidi="ar"/>
          <w14:textFill>
            <w14:solidFill>
              <w14:schemeClr w14:val="tx1"/>
            </w14:solidFill>
          </w14:textFill>
        </w:rPr>
        <w:t>消防宣传培训</w:t>
      </w:r>
    </w:p>
    <w:p>
      <w:pPr>
        <w:widowControl/>
        <w:spacing w:line="560" w:lineRule="exact"/>
        <w:ind w:firstLine="640" w:firstLineChars="200"/>
        <w:rPr>
          <w:rFonts w:ascii="仿宋" w:hAnsi="仿宋" w:eastAsia="宋体"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积极鼓励和引导员工参加注册安全工程师的学习和考试，2021年全公司29人通过注册安全工程师考试。积极组织开展职业技能等级认定工作，制定了《江南化工2021年度职业技能等级认定工作实施方案》，成立了技能等级认定工作领导小组，推进职业技能等级认定工作，2021年组织完成2127名危险岗位作业人员的认定培训、考试、材料审核等工作。</w:t>
      </w:r>
    </w:p>
    <w:p>
      <w:pPr>
        <w:spacing w:line="560" w:lineRule="exact"/>
        <w:ind w:firstLine="560" w:firstLineChars="200"/>
        <w:jc w:val="center"/>
        <w:rPr>
          <w:rFonts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kern w:val="0"/>
          <w:sz w:val="28"/>
          <w:szCs w:val="28"/>
          <w:lang w:bidi="ar"/>
          <w14:textFill>
            <w14:solidFill>
              <w14:schemeClr w14:val="tx1"/>
            </w14:solidFill>
          </w14:textFill>
        </w:rPr>
        <w:t>马鞍山公司组织职业技能等级认定理论</w:t>
      </w:r>
      <w:r>
        <w:rPr>
          <w:sz w:val="28"/>
          <w:szCs w:val="28"/>
        </w:rPr>
        <w:drawing>
          <wp:anchor distT="0" distB="0" distL="114300" distR="114300" simplePos="0" relativeHeight="251667456" behindDoc="0" locked="0" layoutInCell="1" allowOverlap="1">
            <wp:simplePos x="0" y="0"/>
            <wp:positionH relativeFrom="column">
              <wp:posOffset>52070</wp:posOffset>
            </wp:positionH>
            <wp:positionV relativeFrom="paragraph">
              <wp:posOffset>38735</wp:posOffset>
            </wp:positionV>
            <wp:extent cx="5208905" cy="2924810"/>
            <wp:effectExtent l="0" t="0" r="10795" b="8890"/>
            <wp:wrapTopAndBottom/>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1"/>
                    <a:stretch>
                      <a:fillRect/>
                    </a:stretch>
                  </pic:blipFill>
                  <pic:spPr>
                    <a:xfrm>
                      <a:off x="0" y="0"/>
                      <a:ext cx="5208905" cy="2924810"/>
                    </a:xfrm>
                    <a:prstGeom prst="rect">
                      <a:avLst/>
                    </a:prstGeom>
                  </pic:spPr>
                </pic:pic>
              </a:graphicData>
            </a:graphic>
          </wp:anchor>
        </w:drawing>
      </w:r>
      <w:r>
        <w:rPr>
          <w:rFonts w:hint="eastAsia" w:ascii="仿宋" w:hAnsi="仿宋" w:eastAsia="仿宋" w:cs="仿宋"/>
          <w:color w:val="000000" w:themeColor="text1"/>
          <w:kern w:val="0"/>
          <w:sz w:val="28"/>
          <w:szCs w:val="28"/>
          <w:lang w:bidi="ar"/>
          <w14:textFill>
            <w14:solidFill>
              <w14:schemeClr w14:val="tx1"/>
            </w14:solidFill>
          </w14:textFill>
        </w:rPr>
        <w:t>考试</w:t>
      </w:r>
    </w:p>
    <w:p>
      <w:pPr>
        <w:pStyle w:val="2"/>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pPr>
    </w:p>
    <w:p>
      <w:pPr>
        <w:pStyle w:val="2"/>
        <w:rPr>
          <w:rFonts w:ascii="仿宋" w:hAnsi="仿宋" w:eastAsia="仿宋" w:cs="仿宋"/>
          <w:color w:val="000000" w:themeColor="text1"/>
          <w:sz w:val="32"/>
          <w:szCs w:val="32"/>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numPr>
          <w:ilvl w:val="0"/>
          <w:numId w:val="2"/>
        </w:numPr>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35" w:name="_Toc99373572"/>
      <w:r>
        <w:rPr>
          <w:rFonts w:hint="eastAsia" w:ascii="黑体" w:hAnsi="黑体" w:eastAsia="黑体" w:cs="黑体"/>
          <w:color w:val="000000" w:themeColor="text1"/>
          <w:sz w:val="32"/>
          <w:szCs w:val="32"/>
          <w14:textFill>
            <w14:solidFill>
              <w14:schemeClr w14:val="tx1"/>
            </w14:solidFill>
          </w14:textFill>
        </w:rPr>
        <w:t>环境管理</w:t>
      </w:r>
      <w:bookmarkEnd w:id="35"/>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6" w:name="_Toc99373573"/>
      <w:r>
        <w:rPr>
          <w:rFonts w:hint="eastAsia" w:ascii="仿宋" w:hAnsi="仿宋" w:eastAsia="仿宋" w:cs="仿宋"/>
          <w:color w:val="000000" w:themeColor="text1"/>
          <w:szCs w:val="32"/>
          <w14:textFill>
            <w14:solidFill>
              <w14:schemeClr w14:val="tx1"/>
            </w14:solidFill>
          </w14:textFill>
        </w:rPr>
        <w:t>一、绿色经营</w:t>
      </w:r>
      <w:bookmarkEnd w:id="36"/>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7" w:name="_Toc99373574"/>
      <w:r>
        <w:rPr>
          <w:rFonts w:hint="eastAsia" w:ascii="仿宋" w:hAnsi="仿宋" w:eastAsia="仿宋" w:cs="仿宋"/>
          <w:color w:val="000000" w:themeColor="text1"/>
          <w:szCs w:val="32"/>
          <w14:textFill>
            <w14:solidFill>
              <w14:schemeClr w14:val="tx1"/>
            </w14:solidFill>
          </w14:textFill>
        </w:rPr>
        <w:t>（一）环境管理体系</w:t>
      </w:r>
      <w:bookmarkEnd w:id="37"/>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高度重视环境管理体系建设，成立了由总裁担任主任，常务副总裁担任常务副主任，分管安全环保的副总裁担任副主任的节能环保委员会，其他副总裁、各职能部门和所属公司负责人为节能环保委员会成员，并在各生产经营单位内部形成二级节能环保管理机构，形成了公司从上到下整体推进的环保管理组织体系。公司制订了环境管理体系，明确了环境管理体系组织结构和职责，所属公司开展了合规性评价、环境管理体系内部审核及管理评审，环境管理体系认证持续有效。</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建立和执行完整的环境保护管理制度体系，2021年编制和修订了公司《节能环保监督管理标准》《节能环保委员会议管理标准》及《生态环境保护工作责任追究管理标准》，在明确节能环保职责，责任追究等方面逐步完善了制度体系，推动公司环境保护管理的规范化、制度化。</w:t>
      </w:r>
    </w:p>
    <w:p>
      <w:pPr>
        <w:widowControl/>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公司和所属公司安排专人参加了由兵器工业集团组织的国家环境保护政策法规解读及现场督查考核要点培训，提高了环保管理人员的业务水平。</w:t>
      </w:r>
    </w:p>
    <w:p>
      <w:pPr>
        <w:pStyle w:val="2"/>
        <w:jc w:val="center"/>
        <w:rPr>
          <w:lang w:bidi="ar"/>
        </w:rPr>
      </w:pPr>
      <w:r>
        <w:drawing>
          <wp:inline distT="0" distB="0" distL="0" distR="0">
            <wp:extent cx="2419350" cy="3650615"/>
            <wp:effectExtent l="0" t="0" r="635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2"/>
                    <a:stretch>
                      <a:fillRect/>
                    </a:stretch>
                  </pic:blipFill>
                  <pic:spPr>
                    <a:xfrm>
                      <a:off x="0" y="0"/>
                      <a:ext cx="2436153" cy="3676176"/>
                    </a:xfrm>
                    <a:prstGeom prst="rect">
                      <a:avLst/>
                    </a:prstGeom>
                  </pic:spPr>
                </pic:pic>
              </a:graphicData>
            </a:graphic>
          </wp:inline>
        </w:drawing>
      </w:r>
      <w:r>
        <w:rPr>
          <w:rFonts w:hint="eastAsia"/>
        </w:rPr>
        <w:t xml:space="preserve"> </w:t>
      </w:r>
      <w:r>
        <w:drawing>
          <wp:inline distT="0" distB="0" distL="0" distR="0">
            <wp:extent cx="2310765" cy="3676015"/>
            <wp:effectExtent l="0" t="0" r="635"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3"/>
                    <a:stretch>
                      <a:fillRect/>
                    </a:stretch>
                  </pic:blipFill>
                  <pic:spPr>
                    <a:xfrm>
                      <a:off x="0" y="0"/>
                      <a:ext cx="2329000" cy="3704185"/>
                    </a:xfrm>
                    <a:prstGeom prst="rect">
                      <a:avLst/>
                    </a:prstGeom>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lang w:bidi="ar"/>
        </w:rPr>
        <w:t>部分公司环境管理体系认证证书</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8" w:name="_Toc99373575"/>
      <w:r>
        <w:rPr>
          <w:rFonts w:hint="eastAsia" w:ascii="仿宋" w:hAnsi="仿宋" w:eastAsia="仿宋" w:cs="仿宋"/>
          <w:color w:val="000000" w:themeColor="text1"/>
          <w:szCs w:val="32"/>
          <w14:textFill>
            <w14:solidFill>
              <w14:schemeClr w14:val="tx1"/>
            </w14:solidFill>
          </w14:textFill>
        </w:rPr>
        <w:t>（二）环保预警及应急机制</w:t>
      </w:r>
      <w:bookmarkEnd w:id="38"/>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江南化工所属公司编制了《突发环境事件应急管理办法》，均在各地方政府环保部门备案，规范管理并定期开展应急物资的检查，确保应急物资有效。各公司开展了有针对性的突发环境事件的现场应急演练，进一步提高了公司应急队伍响应能力，锻炼了应急情况下协调各相关方应急救援力量的能力。</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39" w:name="_Toc99373576"/>
      <w:r>
        <w:rPr>
          <w:rFonts w:hint="eastAsia" w:ascii="仿宋" w:hAnsi="仿宋" w:eastAsia="仿宋" w:cs="仿宋"/>
          <w:color w:val="000000" w:themeColor="text1"/>
          <w:szCs w:val="32"/>
          <w14:textFill>
            <w14:solidFill>
              <w14:schemeClr w14:val="tx1"/>
            </w14:solidFill>
          </w14:textFill>
        </w:rPr>
        <w:t>（三）企业环境风险隐患管理</w:t>
      </w:r>
      <w:bookmarkEnd w:id="39"/>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加强环境保护分类分级管理。2021年开展了环境风险源、污染源辨识评估工作，编制了污染源和环境风险源分级管控台账，明确各级职责，有效地提升了对风险源、污染源的管理水平，降低了公司的环境风险。</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所属公司由环保分管领导带队，形成自查检查组，每月进行自查；对查出的问题进行对标分析，查找问题原因，并制定整改方案，落实责任人、时间节点和保障措施，确保环保问题隐患得以有效解决。</w:t>
      </w:r>
    </w:p>
    <w:p>
      <w:pPr>
        <w:pStyle w:val="2"/>
        <w:rPr>
          <w:rFonts w:ascii="Times New Roman" w:hAnsi="Times New Roman" w:eastAsia="Times New Roman" w:cs="Times New Roman"/>
          <w:snapToGrid w:val="0"/>
          <w:color w:val="000000"/>
          <w:w w:val="0"/>
          <w:sz w:val="0"/>
          <w:szCs w:val="0"/>
          <w:u w:color="000000"/>
          <w:shd w:val="clear" w:color="000000" w:fill="000000"/>
          <w:lang w:val="zh-CN" w:bidi="zh-CN"/>
        </w:rPr>
      </w:pPr>
      <w:r>
        <w:drawing>
          <wp:inline distT="0" distB="0" distL="0" distR="0">
            <wp:extent cx="2520950" cy="1892300"/>
            <wp:effectExtent l="0" t="0" r="6350" b="0"/>
            <wp:docPr id="16" name="图片 16" descr="D:\D盘\集团安全部文件\证券投资部资料\上市公司年报披露信息提供\2022年\社会责任报告配图\学习习近平生态文明思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D盘\集团安全部文件\证券投资部资料\上市公司年报披露信息提供\2022年\社会责任报告配图\学习习近平生态文明思想.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520950" cy="1892300"/>
                    </a:xfrm>
                    <a:prstGeom prst="rect">
                      <a:avLst/>
                    </a:prstGeom>
                    <a:noFill/>
                    <a:ln>
                      <a:noFill/>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lang w:val="zh-CN" w:bidi="zh-CN"/>
        </w:rPr>
        <w:t xml:space="preserve"> </w:t>
      </w:r>
      <w:r>
        <w:rPr>
          <w:rFonts w:hint="eastAsia" w:ascii="Times New Roman" w:hAnsi="Times New Roman" w:eastAsia="Times New Roman" w:cs="Times New Roman"/>
          <w:snapToGrid w:val="0"/>
          <w:color w:val="000000"/>
          <w:w w:val="0"/>
          <w:sz w:val="0"/>
          <w:szCs w:val="0"/>
          <w:u w:color="000000"/>
          <w:shd w:val="clear" w:color="000000" w:fill="000000"/>
          <w:lang w:bidi="zh-CN"/>
        </w:rPr>
        <w:t xml:space="preserve">        </w:t>
      </w:r>
      <w:r>
        <w:drawing>
          <wp:inline distT="0" distB="0" distL="0" distR="0">
            <wp:extent cx="2656205" cy="1885950"/>
            <wp:effectExtent l="0" t="0" r="10795" b="6350"/>
            <wp:docPr id="17" name="图片 17" descr="D:\D盘\集团安全部文件\证券投资部资料\上市公司年报披露信息提供\2022年\社会责任报告配图\节能技巧分享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D盘\集团安全部文件\证券投资部资料\上市公司年报披露信息提供\2022年\社会责任报告配图\节能技巧分享会.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656205" cy="1885950"/>
                    </a:xfrm>
                    <a:prstGeom prst="rect">
                      <a:avLst/>
                    </a:prstGeom>
                    <a:noFill/>
                    <a:ln>
                      <a:noFill/>
                    </a:ln>
                  </pic:spPr>
                </pic:pic>
              </a:graphicData>
            </a:graphic>
          </wp:inline>
        </w:drawing>
      </w:r>
    </w:p>
    <w:p>
      <w:pPr>
        <w:jc w:val="center"/>
      </w:pPr>
      <w:r>
        <w:rPr>
          <w:rFonts w:hint="eastAsia" w:ascii="仿宋" w:hAnsi="仿宋" w:eastAsia="仿宋" w:cs="仿宋"/>
          <w:sz w:val="28"/>
          <w:szCs w:val="28"/>
          <w:lang w:val="zh-CN" w:bidi="zh-CN"/>
        </w:rPr>
        <w:t>学习习近平生态文明思想</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0" w:name="_Toc99373577"/>
      <w:r>
        <w:rPr>
          <w:rFonts w:hint="eastAsia" w:ascii="仿宋" w:hAnsi="仿宋" w:eastAsia="仿宋" w:cs="仿宋"/>
          <w:color w:val="000000" w:themeColor="text1"/>
          <w:szCs w:val="32"/>
          <w14:textFill>
            <w14:solidFill>
              <w14:schemeClr w14:val="tx1"/>
            </w14:solidFill>
          </w14:textFill>
        </w:rPr>
        <w:t>（四）环保培训与教育</w:t>
      </w:r>
      <w:bookmarkEnd w:id="40"/>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高度重视环境保护培训工作，制订环境保护教育培训制度，积极开展习近平生态文明思想宣贯工作，开展“六五环境日”“节能宣传周”“全国低碳日”以及“中央企业节能低碳专题培训”等宣传教育活动，开办主题会议和培训教育活动93场次，教育培训受众2300余人次，整体提高了公司节能降耗、低碳发展的能源意识。</w:t>
      </w:r>
    </w:p>
    <w:p>
      <w:pPr>
        <w:pStyle w:val="2"/>
      </w:pPr>
      <w:r>
        <w:drawing>
          <wp:inline distT="0" distB="0" distL="0" distR="0">
            <wp:extent cx="5274310" cy="2966720"/>
            <wp:effectExtent l="0" t="0" r="8890" b="5080"/>
            <wp:docPr id="18" name="图片 18" descr="D:\D盘\集团安全部文件\证券投资部资料\上市公司年报披露信息提供\2022年\社会责任报告配图\微信图片_2022032609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D盘\集团安全部文件\证券投资部资料\上市公司年报披露信息提供\2022年\社会责任报告配图\微信图片_202203260941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4310" cy="2966799"/>
                    </a:xfrm>
                    <a:prstGeom prst="rect">
                      <a:avLst/>
                    </a:prstGeom>
                    <a:noFill/>
                    <a:ln>
                      <a:noFill/>
                    </a:ln>
                  </pic:spPr>
                </pic:pic>
              </a:graphicData>
            </a:graphic>
          </wp:inline>
        </w:drawing>
      </w:r>
    </w:p>
    <w:p>
      <w:pPr>
        <w:jc w:val="center"/>
        <w:rPr>
          <w:rFonts w:ascii="仿宋" w:hAnsi="仿宋" w:eastAsia="仿宋" w:cs="仿宋"/>
          <w:sz w:val="28"/>
          <w:szCs w:val="28"/>
          <w:lang w:bidi="zh-CN"/>
        </w:rPr>
      </w:pPr>
      <w:r>
        <w:rPr>
          <w:rFonts w:hint="eastAsia" w:ascii="仿宋" w:hAnsi="仿宋" w:eastAsia="仿宋" w:cs="仿宋"/>
          <w:sz w:val="28"/>
          <w:szCs w:val="28"/>
          <w:lang w:bidi="zh-CN"/>
        </w:rPr>
        <w:t>开展环保培训</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1" w:name="_Toc99373578"/>
      <w:r>
        <w:rPr>
          <w:rFonts w:hint="eastAsia" w:ascii="仿宋" w:hAnsi="仿宋" w:eastAsia="仿宋" w:cs="仿宋"/>
          <w:color w:val="000000" w:themeColor="text1"/>
          <w:szCs w:val="32"/>
          <w14:textFill>
            <w14:solidFill>
              <w14:schemeClr w14:val="tx1"/>
            </w14:solidFill>
          </w14:textFill>
        </w:rPr>
        <w:t>二、绿色工厂</w:t>
      </w:r>
      <w:bookmarkEnd w:id="41"/>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2" w:name="_Toc99373579"/>
      <w:r>
        <w:rPr>
          <w:rFonts w:hint="eastAsia" w:ascii="仿宋" w:hAnsi="仿宋" w:eastAsia="仿宋" w:cs="仿宋"/>
          <w:color w:val="000000" w:themeColor="text1"/>
          <w:szCs w:val="32"/>
          <w14:textFill>
            <w14:solidFill>
              <w14:schemeClr w14:val="tx1"/>
            </w14:solidFill>
          </w14:textFill>
        </w:rPr>
        <w:t>（一）绿色工厂建设</w:t>
      </w:r>
      <w:bookmarkEnd w:id="42"/>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民爆生产板块主要从事民用爆炸物品的生产。各生产点一直坚持绿色发展理念，严格执行国家和地方的节能、环保、循环利用、清洁生产、低碳等领域相关的法律法规，致力于环保建设和生态环境保护，严格控制“三废”排放，以绿色制造为抓手，绿色发展为目标，推动企业转型升级。积极构建行业领先的高效、清洁、低碳、循环的绿色制造体系，系统推进节能环保、清洁生产和绿色制造系统工程，努力打造“绿色”产品。公司逐步完善和加强绿色工厂的制度建设，将绿色、环保、节能等理念融入到供应链中以优化产品绿色性能，提升制造过程清洁化水平，对废气、废水、固废、噪声均进行合理处置，推进工厂基础设施绿色化改造。公司所属马鞍山公司2021年获评“安徽省绿色工厂”称号。</w:t>
      </w:r>
    </w:p>
    <w:p>
      <w:pPr>
        <w:pStyle w:val="2"/>
        <w:jc w:val="center"/>
        <w:rPr>
          <w:lang w:bidi="ar"/>
        </w:rPr>
      </w:pPr>
      <w:r>
        <w:drawing>
          <wp:inline distT="0" distB="0" distL="0" distR="0">
            <wp:extent cx="4060825" cy="2928620"/>
            <wp:effectExtent l="0" t="0" r="3175" b="5080"/>
            <wp:docPr id="21" name="图片 21" descr="C:\Users\jnhg\AppData\Local\Temp\WeChat Files\5b365ab9462575304bb8016d90e68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jnhg\AppData\Local\Temp\WeChat Files\5b365ab9462575304bb8016d90e68c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060825" cy="2928620"/>
                    </a:xfrm>
                    <a:prstGeom prst="rect">
                      <a:avLst/>
                    </a:prstGeom>
                    <a:noFill/>
                    <a:ln>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lang w:bidi="ar"/>
        </w:rPr>
        <w:t>马鞍山公司获评2021年“安徽省绿色工厂”</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3" w:name="_Toc99373580"/>
      <w:r>
        <w:rPr>
          <w:rFonts w:hint="eastAsia" w:ascii="仿宋" w:hAnsi="仿宋" w:eastAsia="仿宋" w:cs="仿宋"/>
          <w:color w:val="000000" w:themeColor="text1"/>
          <w:szCs w:val="32"/>
          <w14:textFill>
            <w14:solidFill>
              <w14:schemeClr w14:val="tx1"/>
            </w14:solidFill>
          </w14:textFill>
        </w:rPr>
        <w:t>（二）绿色办公措施</w:t>
      </w:r>
      <w:bookmarkEnd w:id="43"/>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提倡勤俭节约、精益办公，从节约每一度电、每一张纸、每一滴水做起，引导每一位员工养成减少空调使用、随手关闭电源、节约办公生活用水的良好习惯。公司大力推进信息化建设，加快优化协同办公，倡导无纸化办公，双面打印纸张，降低办公消耗。公司推行异地视频会议措施，大幅减少了往返交通产生的温室气体排放和资源浪费。</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4" w:name="_Toc99373581"/>
      <w:r>
        <w:rPr>
          <w:rFonts w:hint="eastAsia" w:ascii="仿宋" w:hAnsi="仿宋" w:eastAsia="仿宋" w:cs="仿宋"/>
          <w:color w:val="000000" w:themeColor="text1"/>
          <w:szCs w:val="32"/>
          <w14:textFill>
            <w14:solidFill>
              <w14:schemeClr w14:val="tx1"/>
            </w14:solidFill>
          </w14:textFill>
        </w:rPr>
        <w:t>（三）能源管理体系</w:t>
      </w:r>
      <w:bookmarkEnd w:id="44"/>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所属公司开展了能源消耗统计和分析，严格生产过程控制，逐步推行能耗定额控制，通过严格工艺控制、加强监督检查等方式切实降低能源消耗。公司计划选取2至3家分子公司试点开展能源管理体系建设工作，通过建立、运行和能源管理体系认证，发现公司节能降耗方面的不足，提升公司能源利用和管理水平。</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5" w:name="_Toc99373582"/>
      <w:r>
        <w:rPr>
          <w:rFonts w:hint="eastAsia" w:ascii="仿宋" w:hAnsi="仿宋" w:eastAsia="仿宋" w:cs="仿宋"/>
          <w:color w:val="000000" w:themeColor="text1"/>
          <w:szCs w:val="32"/>
          <w14:textFill>
            <w14:solidFill>
              <w14:schemeClr w14:val="tx1"/>
            </w14:solidFill>
          </w14:textFill>
        </w:rPr>
        <w:t>（四）节能政策措施</w:t>
      </w:r>
      <w:bookmarkEnd w:id="45"/>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1.加强能源基础管理</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按照能源管理要求，公司加强能源设备管理，及时对工艺设备、电机等进行技术改造和更新，提高能源利用率。建立健全能源管理制度，定期检查耗能大的重点设备，重点监控高耗能设备合理使用，减少能源的不必要消耗。开展工艺创新，提高了原料、能源利用率。充分利用各种资源，不产生或少产生废弃物。</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公司积极研究落实能源节约“十四五”规划等法规政策，所属公司根据兵器工业集团和本行政区域新法规新政策新要求，及时部署落实，不断优化节能减排规章制度。</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江南化工与所属一级子公司均签订2021年度《节能环保目标责任书》，明确了节能工作责任和节能工作目标。加大了能源管理工作的考核力度，对未完成节能环保考核指标的公司进行考核，与公司绩效挂钩。</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2.加强现场管理工作</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组织相关人员不定期对各工序岗位现场“跑、冒、滴、漏”“长明灯”“长流水”“空车运转”等浪费能源现象进行检查，对检查中发现的问题提出整改要求，加强能源节约意识，达到了降本增效目的。</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3.强化能源计量器具维护和管理</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开展“三网降耗”行动。2021年，公司全面摸底调查供电线路、供水管网和供热管网运行情况和管理现状，基于电平衡、水平衡、热平衡分析等多种技术手段查找问题和运行薄弱环节，编制“三网降耗”工作方案。降低能源损耗和资源损漏，提升输送配送效率，以全面促进低碳绿色转型发展。</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组织开展能源计量器具普查，各用能单位建立完整的能源计量器具台账。根据使用和管理需求合理选择计量器具，加强合规性管理。鼓励江南化工所属公司能源管理系统建设，逐步提高能源计量自动化和信息化水平。所有能源计量器具均按规定的检定周期检定，主要用能设备计量器具配备率符合国家强制要求。</w:t>
      </w:r>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4.进一步做好能源节约教育培训</w:t>
      </w:r>
    </w:p>
    <w:p>
      <w:pPr>
        <w:widowControl/>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根据国资委下发的《关于开展中央企业节能低碳网上专题培训的通知》文件要求，公司组织所属公司开展《试论碳达峰与碳中和》和《减污降碳强生态 助推“双碳”目标早日实现》等相关课程的学习培训，传达了国家节能减排政策，传授了节能低碳的专业知识，提高了员工对节能减排的认识。</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6" w:name="_Toc99373583"/>
      <w:r>
        <w:rPr>
          <w:rFonts w:hint="eastAsia" w:ascii="仿宋" w:hAnsi="仿宋" w:eastAsia="仿宋" w:cs="仿宋"/>
          <w:color w:val="000000" w:themeColor="text1"/>
          <w:szCs w:val="32"/>
          <w14:textFill>
            <w14:solidFill>
              <w14:schemeClr w14:val="tx1"/>
            </w14:solidFill>
          </w14:textFill>
        </w:rPr>
        <w:t>（五）能源目标完成情况</w:t>
      </w:r>
      <w:bookmarkEnd w:id="46"/>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公司建立了能耗指标体系，2021年公司综合能耗9964.21吨标准煤，统计范围内万元可比价产值综合能耗0.054吨标煤。2021年度，总体用电量1766万千瓦时，实施峰谷分时用电电价。供水方面，2021年度使用新水和重复水91.27万吨，其中地表水源8个，市政用水9个，自备井水源12个。供热方面，调查了管网20个，均为蒸汽管网，主要监测设备有质量流量计和热流量计11个，压力表142个，温度计16个。主要供热用能方式包括燃气锅炉9台，燃煤（含生物质）7台，电磁蒸汽发生器31台。</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7" w:name="_Toc99373584"/>
      <w:r>
        <w:rPr>
          <w:rFonts w:hint="eastAsia" w:ascii="仿宋" w:hAnsi="仿宋" w:eastAsia="仿宋" w:cs="仿宋"/>
          <w:color w:val="000000" w:themeColor="text1"/>
          <w:szCs w:val="32"/>
          <w14:textFill>
            <w14:solidFill>
              <w14:schemeClr w14:val="tx1"/>
            </w14:solidFill>
          </w14:textFill>
        </w:rPr>
        <w:t>（六）实施清洁生产的政策措施</w:t>
      </w:r>
      <w:bookmarkEnd w:id="47"/>
    </w:p>
    <w:p>
      <w:pPr>
        <w:pStyle w:val="6"/>
        <w:spacing w:before="0" w:after="0" w:line="560" w:lineRule="exact"/>
        <w:ind w:firstLine="643"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1.环保方面</w:t>
      </w:r>
    </w:p>
    <w:p>
      <w:pPr>
        <w:widowControl/>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坚持以技术进步推动清洁生产，多年来持续改进生产工艺和源头治理技术，清洁生产水平持续提升。2021年，新疆天河公司综合废水处理站（含T）升级改造与废水回用项目作为企业环保重点项目向当地环保局做了资金申请报告；漳州久依久公司太阳能辅助加热电磁蒸汽发生器系统改造项目的应用，年可减排二氧化碳810吨，二氧化硫214.2千克，氮氧化物447.3千克;绵竹兴远公司参评四川省生态环境厅组织的2020年度省级企业环境信用评价工作，经县级生态环境部门初审、市级生态环境部门复核、生态环境厅企业环境信用评价领导小组成员单位审核等流程，初评公示结果为“环保良好企业”；公司各生产线原材料、能源消耗水平以及污染物产生和排放强度均得到不同程度降低。</w:t>
      </w:r>
    </w:p>
    <w:p>
      <w:pPr>
        <w:pStyle w:val="6"/>
        <w:spacing w:before="0" w:after="0" w:line="560" w:lineRule="exact"/>
        <w:ind w:firstLine="643"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2.能源方面</w:t>
      </w:r>
    </w:p>
    <w:p>
      <w:pPr>
        <w:widowControl/>
        <w:spacing w:line="560" w:lineRule="exact"/>
        <w:ind w:firstLine="640" w:firstLineChars="200"/>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2021年，江南化工所属公司新增了5项能源资源节约项目，主要为安徽向科、马鞍山公司、新疆天河和宁国分公司锅炉燃烧器改造、蒸汽管道改造等项目，通过技术改造，实现了节能降耗，减少吨产品耗水量、减少热量损失和提高热效率等目标。</w:t>
      </w:r>
    </w:p>
    <w:p/>
    <w:p>
      <w:pPr>
        <w:pStyle w:val="2"/>
        <w:spacing w:line="560" w:lineRule="exact"/>
        <w:ind w:firstLine="640" w:firstLineChars="200"/>
        <w:rPr>
          <w:rFonts w:ascii="仿宋" w:hAnsi="仿宋" w:eastAsia="仿宋" w:cs="仿宋"/>
          <w:color w:val="000000" w:themeColor="text1"/>
          <w:sz w:val="32"/>
          <w:szCs w:val="32"/>
          <w:lang w:bidi="ar"/>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numPr>
          <w:ilvl w:val="0"/>
          <w:numId w:val="2"/>
        </w:numPr>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48" w:name="_Toc99373585"/>
      <w:r>
        <w:rPr>
          <w:rFonts w:hint="eastAsia" w:ascii="黑体" w:hAnsi="黑体" w:eastAsia="黑体" w:cs="黑体"/>
          <w:color w:val="000000" w:themeColor="text1"/>
          <w:sz w:val="32"/>
          <w:szCs w:val="32"/>
          <w14:textFill>
            <w14:solidFill>
              <w14:schemeClr w14:val="tx1"/>
            </w14:solidFill>
          </w14:textFill>
        </w:rPr>
        <w:t>社会责任</w:t>
      </w:r>
      <w:bookmarkEnd w:id="48"/>
    </w:p>
    <w:p>
      <w:pPr>
        <w:pStyle w:val="4"/>
        <w:numPr>
          <w:ilvl w:val="0"/>
          <w:numId w:val="3"/>
        </w:numPr>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49" w:name="_Toc99373586"/>
      <w:r>
        <w:rPr>
          <w:rFonts w:hint="eastAsia" w:ascii="仿宋" w:hAnsi="仿宋" w:eastAsia="仿宋" w:cs="仿宋"/>
          <w:color w:val="000000" w:themeColor="text1"/>
          <w:szCs w:val="32"/>
          <w14:textFill>
            <w14:solidFill>
              <w14:schemeClr w14:val="tx1"/>
            </w14:solidFill>
          </w14:textFill>
        </w:rPr>
        <w:t>创新引领发展</w:t>
      </w:r>
      <w:bookmarkEnd w:id="49"/>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深刻把握习近平总书记提出的：“中央企业等国有企业要勇挑重担、敢打头阵，勇当原创技术的‘策源地’，现代产业链的‘链长’”要求，认真贯彻落实党中央决策部署、兵器工业集团党组、特能集团党委工作要求，胸怀兵器事业新发展的大局，积极支撑打造民爆现代产业链“链长”，把高质量发展的着力点放在依靠科技创新提升产业发展水平上，坚持国家战略性需求导向，加强行业关键技术、共性技术、前沿技术攻关，培育壮大发展新动能。</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2021年，公司新产品贡献率达到38.57%，研发投入1.</w:t>
      </w:r>
      <w:r>
        <w:rPr>
          <w:rFonts w:ascii="仿宋" w:hAnsi="仿宋" w:eastAsia="仿宋" w:cs="仿宋"/>
          <w:bCs/>
          <w:color w:val="000000" w:themeColor="text1"/>
          <w:sz w:val="32"/>
          <w:szCs w:val="32"/>
          <w14:textFill>
            <w14:solidFill>
              <w14:schemeClr w14:val="tx1"/>
            </w14:solidFill>
          </w14:textFill>
        </w:rPr>
        <w:t>5</w:t>
      </w:r>
      <w:r>
        <w:rPr>
          <w:rFonts w:hint="eastAsia" w:ascii="仿宋" w:hAnsi="仿宋" w:eastAsia="仿宋" w:cs="仿宋"/>
          <w:bCs/>
          <w:color w:val="000000" w:themeColor="text1"/>
          <w:sz w:val="32"/>
          <w:szCs w:val="32"/>
          <w14:textFill>
            <w14:solidFill>
              <w14:schemeClr w14:val="tx1"/>
            </w14:solidFill>
          </w14:textFill>
        </w:rPr>
        <w:t>4亿元，同比增长</w:t>
      </w:r>
      <w:r>
        <w:rPr>
          <w:rFonts w:ascii="仿宋" w:hAnsi="仿宋" w:eastAsia="仿宋" w:cs="仿宋"/>
          <w:bCs/>
          <w:color w:val="000000" w:themeColor="text1"/>
          <w:sz w:val="32"/>
          <w:szCs w:val="32"/>
          <w14:textFill>
            <w14:solidFill>
              <w14:schemeClr w14:val="tx1"/>
            </w14:solidFill>
          </w14:textFill>
        </w:rPr>
        <w:t>143.33</w:t>
      </w:r>
      <w:r>
        <w:rPr>
          <w:rFonts w:hint="eastAsia" w:ascii="仿宋" w:hAnsi="仿宋" w:eastAsia="仿宋" w:cs="仿宋"/>
          <w:bCs/>
          <w:color w:val="000000" w:themeColor="text1"/>
          <w:sz w:val="32"/>
          <w:szCs w:val="32"/>
          <w14:textFill>
            <w14:solidFill>
              <w14:schemeClr w14:val="tx1"/>
            </w14:solidFill>
          </w14:textFill>
        </w:rPr>
        <w:t>%，研发投入占营业收入比率达到2.</w:t>
      </w:r>
      <w:r>
        <w:rPr>
          <w:rFonts w:ascii="仿宋" w:hAnsi="仿宋" w:eastAsia="仿宋" w:cs="仿宋"/>
          <w:bCs/>
          <w:color w:val="000000" w:themeColor="text1"/>
          <w:sz w:val="32"/>
          <w:szCs w:val="32"/>
          <w14:textFill>
            <w14:solidFill>
              <w14:schemeClr w14:val="tx1"/>
            </w14:solidFill>
          </w14:textFill>
        </w:rPr>
        <w:t>37</w:t>
      </w:r>
      <w:r>
        <w:rPr>
          <w:rFonts w:hint="eastAsia" w:ascii="仿宋" w:hAnsi="仿宋" w:eastAsia="仿宋" w:cs="仿宋"/>
          <w:bCs/>
          <w:color w:val="000000" w:themeColor="text1"/>
          <w:sz w:val="32"/>
          <w:szCs w:val="32"/>
          <w14:textFill>
            <w14:solidFill>
              <w14:schemeClr w14:val="tx1"/>
            </w14:solidFill>
          </w14:textFill>
        </w:rPr>
        <w:t>%。2021年获中国爆破行业协会工法1项，牵头编写了《光面爆破工程施工组织设计规范》行业标准。完成“工程爆破服务现场混装技术”“井下基质配送系统及钻爆技术”2项兵器工业集团核心技术总体方案的策划。论证实施了“新型井下上向深孔现场混装装备与技术”科研项目。新疆天河</w:t>
      </w:r>
      <w:r>
        <w:rPr>
          <w:rFonts w:hint="eastAsia" w:ascii="仿宋" w:hAnsi="仿宋" w:eastAsia="仿宋" w:cs="仿宋"/>
          <w:bCs/>
          <w:snapToGrid w:val="0"/>
          <w:color w:val="000000" w:themeColor="text1"/>
          <w:kern w:val="0"/>
          <w:sz w:val="32"/>
          <w:szCs w:val="32"/>
          <w14:textFill>
            <w14:solidFill>
              <w14:schemeClr w14:val="tx1"/>
            </w14:solidFill>
          </w14:textFill>
        </w:rPr>
        <w:t>震源药柱起爆药柱压制专利填补国内空白，成果转化后每年降低材料、人工成本近800万元，单条生产线合计减少在线人员32人。</w:t>
      </w:r>
      <w:r>
        <w:rPr>
          <w:rFonts w:hint="eastAsia" w:ascii="仿宋" w:hAnsi="仿宋" w:eastAsia="仿宋" w:cs="仿宋"/>
          <w:bCs/>
          <w:color w:val="000000" w:themeColor="text1"/>
          <w:sz w:val="32"/>
          <w:szCs w:val="32"/>
          <w14:textFill>
            <w14:solidFill>
              <w14:schemeClr w14:val="tx1"/>
            </w14:solidFill>
          </w14:textFill>
        </w:rPr>
        <w:t>江南民爆技术创新中心建设工作正稳步推进，坚持国家战略性需求导向，未来将承担绿色炸药、数码电子雷管、</w:t>
      </w:r>
      <w:r>
        <w:rPr>
          <w:rFonts w:hint="eastAsia" w:ascii="仿宋" w:hAnsi="仿宋" w:eastAsia="仿宋" w:cs="仿宋"/>
          <w:bCs/>
          <w:color w:val="000000" w:themeColor="text1"/>
          <w:kern w:val="44"/>
          <w:sz w:val="32"/>
          <w:szCs w:val="32"/>
          <w14:textFill>
            <w14:solidFill>
              <w14:schemeClr w14:val="tx1"/>
            </w14:solidFill>
          </w14:textFill>
        </w:rPr>
        <w:t>智能民爆器材、智能爆破技术</w:t>
      </w:r>
      <w:r>
        <w:rPr>
          <w:rFonts w:hint="eastAsia" w:ascii="仿宋" w:hAnsi="仿宋" w:eastAsia="仿宋" w:cs="仿宋"/>
          <w:bCs/>
          <w:color w:val="000000" w:themeColor="text1"/>
          <w:sz w:val="32"/>
          <w:szCs w:val="32"/>
          <w14:textFill>
            <w14:solidFill>
              <w14:schemeClr w14:val="tx1"/>
            </w14:solidFill>
          </w14:textFill>
        </w:rPr>
        <w:t>、智能制造等技术研究工作，引领民爆行业创新发展。</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0" w:name="_Toc99373587"/>
      <w:r>
        <w:rPr>
          <w:rFonts w:hint="eastAsia" w:ascii="仿宋" w:hAnsi="仿宋" w:eastAsia="仿宋" w:cs="仿宋"/>
          <w:color w:val="000000" w:themeColor="text1"/>
          <w:szCs w:val="32"/>
          <w14:textFill>
            <w14:solidFill>
              <w14:schemeClr w14:val="tx1"/>
            </w14:solidFill>
          </w14:textFill>
        </w:rPr>
        <w:t>二、保障产品质量</w:t>
      </w:r>
      <w:bookmarkEnd w:id="50"/>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始终把质量管理当作头等大事，常抓不懈。2021年发布了《质量问题管理标准》（QG/JN10.03-2021），以标准化管理质量问题，每一批次的原材料、每一批次的出厂产品都经过严格的检验检测确认，把不合格的原材料封堵在厂区大门外，把不合格的产品消灭在生产车间里。产品质量一次性交验合格率维持在99%以上；生产质量合格率保持在99.5%以上。</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强化动态化质量管理，及时听取客户的产品质量使用反馈信息，以客户的可靠性和实用性需求作为产品质量管理和生产质量管理的优化要素，把质量管理的动态化固化为日常化，把质量管理作为公司高质量发展的重要组成部分，脚踏实地做好日常质量管理工作。</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1" w:name="_Toc99373588"/>
      <w:r>
        <w:rPr>
          <w:rFonts w:hint="eastAsia" w:ascii="仿宋" w:hAnsi="仿宋" w:eastAsia="仿宋" w:cs="仿宋"/>
          <w:color w:val="000000" w:themeColor="text1"/>
          <w:szCs w:val="32"/>
          <w14:textFill>
            <w14:solidFill>
              <w14:schemeClr w14:val="tx1"/>
            </w14:solidFill>
          </w14:textFill>
        </w:rPr>
        <w:t>三、建设绿色矿山</w:t>
      </w:r>
      <w:bookmarkEnd w:id="51"/>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牢牢树立“绿水青山就是金山银山”的发展理念，以“建设全疆标杆的绿色砂石骨料矿山”为目标，按照“高起点、高标准、高质量”的建设要求，在新疆乌鲁木齐市设立建筑用砂露天开采、加工、销售的新疆江南易泰建材有限公司。新疆易泰坚持依法规范经营，落实安全环保主体责任，从矿区环境、资源开发方式、资源综合利用、节能减排、科技创新与智能矿山、企业管理与企业形象六个方面扎实有效地推进绿色矿山建设，现已成为乌鲁木齐市乃至新疆区域砂石骨料绿色矿山标杆企业，</w:t>
      </w:r>
      <w:r>
        <w:rPr>
          <w:rFonts w:hint="eastAsia" w:ascii="仿宋" w:hAnsi="仿宋" w:eastAsia="仿宋"/>
          <w:sz w:val="32"/>
          <w:szCs w:val="32"/>
        </w:rPr>
        <w:t>矿产资源综合利用率达98.8%，固体废弃物泥渣复垦利用率100%，矿山耗新鲜水0.093立方米/吨，生产用水利用率达90%以上，选矿加工综合能耗3.5千瓦时/吨，处于行业领先水平。</w:t>
      </w:r>
      <w:r>
        <w:rPr>
          <w:rFonts w:hint="eastAsia" w:ascii="仿宋" w:hAnsi="仿宋" w:eastAsia="仿宋" w:cs="仿宋"/>
          <w:color w:val="000000" w:themeColor="text1"/>
          <w:sz w:val="32"/>
          <w:szCs w:val="32"/>
          <w14:textFill>
            <w14:solidFill>
              <w14:schemeClr w14:val="tx1"/>
            </w14:solidFill>
          </w14:textFill>
        </w:rPr>
        <w:t>2021年，新疆易泰被乌鲁木齐市米东区委、区政府授予“2021年度绿色发展企业”荣誉称号。</w:t>
      </w:r>
    </w:p>
    <w:p>
      <w:pPr>
        <w:pStyle w:val="2"/>
      </w:pPr>
      <w:r>
        <w:drawing>
          <wp:inline distT="0" distB="0" distL="114300" distR="114300">
            <wp:extent cx="5270500" cy="2715895"/>
            <wp:effectExtent l="0" t="0" r="0" b="190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38"/>
                    <a:stretch>
                      <a:fillRect/>
                    </a:stretch>
                  </pic:blipFill>
                  <pic:spPr>
                    <a:xfrm>
                      <a:off x="0" y="0"/>
                      <a:ext cx="5270500" cy="2715895"/>
                    </a:xfrm>
                    <a:prstGeom prst="rect">
                      <a:avLst/>
                    </a:prstGeom>
                    <a:noFill/>
                    <a:ln>
                      <a:noFill/>
                    </a:ln>
                  </pic:spPr>
                </pic:pic>
              </a:graphicData>
            </a:graphic>
          </wp:inline>
        </w:drawing>
      </w:r>
    </w:p>
    <w:p>
      <w:pPr>
        <w:ind w:left="420" w:leftChars="200"/>
        <w:jc w:val="center"/>
        <w:rPr>
          <w:rFonts w:ascii="仿宋" w:hAnsi="仿宋" w:eastAsia="仿宋" w:cs="仿宋"/>
          <w:sz w:val="28"/>
          <w:szCs w:val="28"/>
        </w:rPr>
      </w:pPr>
      <w:r>
        <w:rPr>
          <w:rFonts w:hint="eastAsia" w:ascii="仿宋" w:hAnsi="仿宋" w:eastAsia="仿宋" w:cs="仿宋"/>
          <w:sz w:val="28"/>
          <w:szCs w:val="28"/>
        </w:rPr>
        <w:t>新疆易泰公司厂区</w:t>
      </w:r>
    </w:p>
    <w:p>
      <w:pPr>
        <w:pStyle w:val="2"/>
      </w:pPr>
      <w:r>
        <w:drawing>
          <wp:inline distT="0" distB="0" distL="114300" distR="114300">
            <wp:extent cx="5266690" cy="3303905"/>
            <wp:effectExtent l="0" t="0" r="3810" b="10795"/>
            <wp:docPr id="49" name="图片 49" descr="图为 日处理污水能力2000吨的零排放环保水处理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为 日处理污水能力2000吨的零排放环保水处理区"/>
                    <pic:cNvPicPr>
                      <a:picLocks noChangeAspect="1"/>
                    </pic:cNvPicPr>
                  </pic:nvPicPr>
                  <pic:blipFill>
                    <a:blip r:embed="rId39"/>
                    <a:stretch>
                      <a:fillRect/>
                    </a:stretch>
                  </pic:blipFill>
                  <pic:spPr>
                    <a:xfrm>
                      <a:off x="0" y="0"/>
                      <a:ext cx="5266690" cy="3303905"/>
                    </a:xfrm>
                    <a:prstGeom prst="rect">
                      <a:avLst/>
                    </a:prstGeom>
                  </pic:spPr>
                </pic:pic>
              </a:graphicData>
            </a:graphic>
          </wp:inline>
        </w:drawing>
      </w:r>
    </w:p>
    <w:p>
      <w:pPr>
        <w:ind w:left="420" w:leftChars="200"/>
        <w:jc w:val="center"/>
        <w:rPr>
          <w:rFonts w:ascii="仿宋" w:hAnsi="仿宋" w:eastAsia="仿宋" w:cs="仿宋"/>
          <w:sz w:val="28"/>
          <w:szCs w:val="28"/>
        </w:rPr>
      </w:pPr>
      <w:r>
        <w:rPr>
          <w:rFonts w:hint="eastAsia" w:ascii="仿宋" w:hAnsi="仿宋" w:eastAsia="仿宋" w:cs="仿宋"/>
          <w:sz w:val="28"/>
          <w:szCs w:val="28"/>
        </w:rPr>
        <w:t>新疆易泰日处理污水能力2000吨的零排放环保水处理区</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2" w:name="_Toc99373589"/>
      <w:r>
        <w:rPr>
          <w:rFonts w:hint="eastAsia" w:ascii="仿宋" w:hAnsi="仿宋" w:eastAsia="仿宋" w:cs="仿宋"/>
          <w:color w:val="000000" w:themeColor="text1"/>
          <w:szCs w:val="32"/>
          <w14:textFill>
            <w14:solidFill>
              <w14:schemeClr w14:val="tx1"/>
            </w14:solidFill>
          </w14:textFill>
        </w:rPr>
        <w:t>四、加强疫情防控</w:t>
      </w:r>
      <w:bookmarkEnd w:id="52"/>
    </w:p>
    <w:p>
      <w:pPr>
        <w:pStyle w:val="15"/>
        <w:widowControl/>
        <w:spacing w:line="560" w:lineRule="exact"/>
        <w:ind w:firstLine="640" w:firstLineChars="200"/>
        <w:rPr>
          <w:rFonts w:ascii="仿宋" w:hAnsi="仿宋" w:eastAsia="仿宋" w:cs="仿宋"/>
          <w:color w:val="000000" w:themeColor="text1"/>
          <w:kern w:val="2"/>
          <w:sz w:val="32"/>
          <w:szCs w:val="32"/>
          <w14:textFill>
            <w14:solidFill>
              <w14:schemeClr w14:val="tx1"/>
            </w14:solidFill>
          </w14:textFill>
        </w:rPr>
      </w:pPr>
      <w:r>
        <w:rPr>
          <w:rFonts w:hint="eastAsia" w:ascii="仿宋" w:hAnsi="仿宋" w:eastAsia="仿宋" w:cs="仿宋"/>
          <w:color w:val="000000" w:themeColor="text1"/>
          <w:kern w:val="2"/>
          <w:sz w:val="32"/>
          <w:szCs w:val="32"/>
          <w14:textFill>
            <w14:solidFill>
              <w14:schemeClr w14:val="tx1"/>
            </w14:solidFill>
          </w14:textFill>
        </w:rPr>
        <w:t>疫情期间，公司坚决贯彻落实党中央、国务院决策部署，贯彻落实“人民至上、生命至上”的理念，充分发挥各党支部战斗堡垒作用和党员先锋模范作用，认真履职尽责、全员动员、全面部署，全面加强疫情防控和安全生产工作，确保员工的生命安全和企业的安全发展。</w:t>
      </w:r>
    </w:p>
    <w:p>
      <w:pPr>
        <w:pStyle w:val="15"/>
        <w:widowControl/>
        <w:spacing w:line="560" w:lineRule="exact"/>
        <w:jc w:val="center"/>
        <w:rPr>
          <w:rFonts w:ascii="仿宋" w:hAnsi="仿宋" w:eastAsia="仿宋" w:cs="仿宋"/>
          <w:color w:val="000000" w:themeColor="text1"/>
          <w:kern w:val="2"/>
          <w:sz w:val="32"/>
          <w:szCs w:val="32"/>
          <w14:textFill>
            <w14:solidFill>
              <w14:schemeClr w14:val="tx1"/>
            </w14:solidFill>
          </w14:textFill>
        </w:rPr>
      </w:pPr>
      <w:r>
        <w:drawing>
          <wp:anchor distT="0" distB="0" distL="114300" distR="114300" simplePos="0" relativeHeight="251659264" behindDoc="0" locked="0" layoutInCell="1" allowOverlap="1">
            <wp:simplePos x="0" y="0"/>
            <wp:positionH relativeFrom="column">
              <wp:posOffset>328930</wp:posOffset>
            </wp:positionH>
            <wp:positionV relativeFrom="paragraph">
              <wp:posOffset>78105</wp:posOffset>
            </wp:positionV>
            <wp:extent cx="4597400" cy="2834005"/>
            <wp:effectExtent l="0" t="0" r="0" b="10795"/>
            <wp:wrapTopAndBottom/>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40"/>
                    <a:stretch>
                      <a:fillRect/>
                    </a:stretch>
                  </pic:blipFill>
                  <pic:spPr>
                    <a:xfrm>
                      <a:off x="0" y="0"/>
                      <a:ext cx="4597400" cy="2834005"/>
                    </a:xfrm>
                    <a:prstGeom prst="rect">
                      <a:avLst/>
                    </a:prstGeom>
                    <a:noFill/>
                    <a:ln>
                      <a:noFill/>
                    </a:ln>
                  </pic:spPr>
                </pic:pic>
              </a:graphicData>
            </a:graphic>
          </wp:anchor>
        </w:drawing>
      </w:r>
      <w:r>
        <w:rPr>
          <w:rFonts w:hint="eastAsia" w:ascii="仿宋" w:hAnsi="仿宋" w:eastAsia="仿宋" w:cs="仿宋"/>
          <w:color w:val="222222"/>
          <w:spacing w:val="5"/>
          <w:sz w:val="28"/>
          <w:szCs w:val="28"/>
        </w:rPr>
        <w:t>南理工科化防疫测温</w:t>
      </w:r>
    </w:p>
    <w:p>
      <w:pPr>
        <w:ind w:firstLine="640" w:firstLineChars="200"/>
        <w:rPr>
          <w:rFonts w:ascii="仿宋" w:hAnsi="仿宋" w:eastAsia="仿宋" w:cs="仿宋"/>
          <w:bCs/>
          <w:color w:val="000000" w:themeColor="text1"/>
          <w:kern w:val="0"/>
          <w:sz w:val="32"/>
          <w:szCs w:val="32"/>
          <w14:textFill>
            <w14:solidFill>
              <w14:schemeClr w14:val="tx1"/>
            </w14:solidFill>
          </w14:textFill>
        </w:rPr>
      </w:pPr>
      <w:r>
        <w:rPr>
          <w:rFonts w:hint="eastAsia" w:ascii="仿宋" w:hAnsi="仿宋" w:eastAsia="仿宋" w:cs="仿宋"/>
          <w:bCs/>
          <w:color w:val="000000" w:themeColor="text1"/>
          <w:kern w:val="0"/>
          <w:sz w:val="32"/>
          <w:szCs w:val="32"/>
          <w14:textFill>
            <w14:solidFill>
              <w14:schemeClr w14:val="tx1"/>
            </w14:solidFill>
          </w14:textFill>
        </w:rPr>
        <w:t>公司所属新疆天河、宁国分公司、马鞍山公司、南理工科化等公司在抓好自身防控的同时，立足社会责任，展现企业担当，迅速组织人员物资加入属地疫情防控工作中。防疫志愿者配合交警、医务人员、志愿者服务队参与现场测温、秩序维护、车辆分流引导、健康码及行程码核验工作，为疫情防控贡献力量。</w:t>
      </w:r>
    </w:p>
    <w:p>
      <w:pPr>
        <w:pStyle w:val="2"/>
        <w:jc w:val="center"/>
        <w:rPr>
          <w:rFonts w:eastAsia="仿宋"/>
        </w:rPr>
      </w:pPr>
      <w:r>
        <w:rPr>
          <w:rFonts w:hint="eastAsia" w:eastAsia="仿宋"/>
        </w:rPr>
        <w:drawing>
          <wp:inline distT="0" distB="0" distL="114300" distR="114300">
            <wp:extent cx="4567555" cy="3045460"/>
            <wp:effectExtent l="0" t="0" r="4445" b="2540"/>
            <wp:docPr id="34" name="图片 34" descr="微信图片_2022032617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20326172717"/>
                    <pic:cNvPicPr>
                      <a:picLocks noChangeAspect="1"/>
                    </pic:cNvPicPr>
                  </pic:nvPicPr>
                  <pic:blipFill>
                    <a:blip r:embed="rId41"/>
                    <a:stretch>
                      <a:fillRect/>
                    </a:stretch>
                  </pic:blipFill>
                  <pic:spPr>
                    <a:xfrm>
                      <a:off x="0" y="0"/>
                      <a:ext cx="4567555" cy="3045460"/>
                    </a:xfrm>
                    <a:prstGeom prst="rect">
                      <a:avLst/>
                    </a:prstGeom>
                  </pic:spPr>
                </pic:pic>
              </a:graphicData>
            </a:graphic>
          </wp:inline>
        </w:drawing>
      </w:r>
    </w:p>
    <w:p>
      <w:pPr>
        <w:jc w:val="center"/>
      </w:pPr>
      <w:r>
        <w:rPr>
          <w:rFonts w:hint="eastAsia" w:ascii="仿宋" w:hAnsi="仿宋" w:eastAsia="仿宋" w:cs="仿宋"/>
          <w:color w:val="222222"/>
          <w:spacing w:val="5"/>
          <w:sz w:val="28"/>
          <w:szCs w:val="28"/>
        </w:rPr>
        <w:t>宁国分公司组织志愿者参与当地防疫工作</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3" w:name="_Toc99373590"/>
      <w:r>
        <w:rPr>
          <w:rFonts w:hint="eastAsia" w:ascii="仿宋" w:hAnsi="仿宋" w:eastAsia="仿宋" w:cs="仿宋"/>
          <w:color w:val="000000" w:themeColor="text1"/>
          <w:szCs w:val="32"/>
          <w14:textFill>
            <w14:solidFill>
              <w14:schemeClr w14:val="tx1"/>
            </w14:solidFill>
          </w14:textFill>
        </w:rPr>
        <w:t>五、实施精准帮扶</w:t>
      </w:r>
      <w:bookmarkEnd w:id="53"/>
    </w:p>
    <w:p>
      <w:pPr>
        <w:spacing w:line="560" w:lineRule="exact"/>
        <w:ind w:firstLine="640" w:firstLineChars="200"/>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积极肩负央企控股上市公司社会责任，持续开展精准扶贫工作。通过消费帮扶等方式，采购中国兵器工业集团对口帮扶贫困县农产品15万余元。所属公司新疆天河积极参与库车市共青团委组织的“党恩暖童心”活动，向当地儿童捐赠爱心包。2021年度“百企帮百村”活动中，新疆天河对定点扶贫村库车市乔喀博斯坦村进行扶贫帮困，一方面推进消费帮扶，划拨资金采购帮扶村的滞销农副产品，另一方面深入开展就业帮扶，招收贫困人员，让他们在新疆天河实现再就业。此外，新疆天河积极开展“职工惠购优品，助力乡村振兴”活动，购买库车市阿拉哈格镇乔哈博斯坦村花椰菜1000千克，参与职工400余人，以实际行动助力当地经济社会发展。新疆恒远爆破公司十年来帮扶帕米尔高原少数民族贫困学子百余人，累计投入资金30余万元，有力地维护了民族团结，带动了边疆地区经济社会发展。南部永生安排驻村工作组，常年坚守并对口帮扶四川省南部县西水镇凤凰岛村，出资帮助农户开展种养殖业，绿化美化村道公路，为村活动办公室捐赠办公桌凳和文件柜等，巩固拓展脱贫攻坚成果，接续助力乡村振兴。</w:t>
      </w:r>
      <w:r>
        <w:rPr>
          <w:rFonts w:hint="eastAsia" w:ascii="仿宋" w:hAnsi="仿宋" w:eastAsia="仿宋" w:cs="仿宋"/>
          <w:bCs/>
          <w:color w:val="000000" w:themeColor="text1"/>
          <w:sz w:val="32"/>
          <w:szCs w:val="32"/>
          <w14:textFill>
            <w14:solidFill>
              <w14:schemeClr w14:val="tx1"/>
            </w14:solidFill>
          </w14:textFill>
        </w:rPr>
        <w:t>安徽向科自2016年以来，先后自筹资金45万余元，用于建设望江县高士镇黄河村村级光伏电站、村级温室养鸭大棚、产业园内部道路、“村村通”道路、太阳能光伏路灯等基础设施，截至目前，所有项目均已投产运营并产生经济效益。新冠肺炎疫情期间，安徽向科将捐赠的4000余元防疫物资金送到村民手中，帮助黄河村村民度过难关。2021年夏季，安庆市遭遇洪涝灾害，安徽向科安排工作人员第一时间到村送上抗洪物资，慰问防汛人员，同时还协助黄河村产业园销售滞销农副产品合计2.5万元。</w:t>
      </w:r>
    </w:p>
    <w:p>
      <w:pPr>
        <w:pStyle w:val="2"/>
        <w:jc w:val="center"/>
        <w:rPr>
          <w:rFonts w:ascii="仿宋" w:hAnsi="仿宋" w:eastAsia="仿宋" w:cs="仿宋"/>
          <w:bCs/>
          <w:color w:val="000000" w:themeColor="text1"/>
          <w:sz w:val="32"/>
          <w:szCs w:val="32"/>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drawing>
          <wp:inline distT="0" distB="0" distL="114300" distR="114300">
            <wp:extent cx="2675890" cy="1818640"/>
            <wp:effectExtent l="0" t="0" r="3810" b="10160"/>
            <wp:docPr id="27" name="图片 27" descr="恒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恒源"/>
                    <pic:cNvPicPr>
                      <a:picLocks noChangeAspect="1"/>
                    </pic:cNvPicPr>
                  </pic:nvPicPr>
                  <pic:blipFill>
                    <a:blip r:embed="rId42"/>
                    <a:stretch>
                      <a:fillRect/>
                    </a:stretch>
                  </pic:blipFill>
                  <pic:spPr>
                    <a:xfrm>
                      <a:off x="0" y="0"/>
                      <a:ext cx="2675890" cy="1818640"/>
                    </a:xfrm>
                    <a:prstGeom prst="rect">
                      <a:avLst/>
                    </a:prstGeom>
                  </pic:spPr>
                </pic:pic>
              </a:graphicData>
            </a:graphic>
          </wp:inline>
        </w:drawing>
      </w:r>
      <w:r>
        <w:rPr>
          <w:rFonts w:hint="eastAsia" w:ascii="仿宋" w:hAnsi="仿宋" w:eastAsia="仿宋" w:cs="仿宋"/>
          <w:bCs/>
          <w:color w:val="000000" w:themeColor="text1"/>
          <w:sz w:val="32"/>
          <w:szCs w:val="32"/>
          <w14:textFill>
            <w14:solidFill>
              <w14:schemeClr w14:val="tx1"/>
            </w14:solidFill>
          </w14:textFill>
        </w:rPr>
        <w:drawing>
          <wp:inline distT="0" distB="0" distL="114300" distR="114300">
            <wp:extent cx="2530475" cy="1805940"/>
            <wp:effectExtent l="0" t="0" r="9525" b="10160"/>
            <wp:docPr id="28" name="图片 28" descr="64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640 (1)"/>
                    <pic:cNvPicPr>
                      <a:picLocks noChangeAspect="1"/>
                    </pic:cNvPicPr>
                  </pic:nvPicPr>
                  <pic:blipFill>
                    <a:blip r:embed="rId43"/>
                    <a:stretch>
                      <a:fillRect/>
                    </a:stretch>
                  </pic:blipFill>
                  <pic:spPr>
                    <a:xfrm>
                      <a:off x="0" y="0"/>
                      <a:ext cx="2530475" cy="1805940"/>
                    </a:xfrm>
                    <a:prstGeom prst="rect">
                      <a:avLst/>
                    </a:prstGeom>
                  </pic:spPr>
                </pic:pic>
              </a:graphicData>
            </a:graphic>
          </wp:inline>
        </w:drawing>
      </w:r>
    </w:p>
    <w:p>
      <w:pPr>
        <w:jc w:val="center"/>
      </w:pPr>
      <w:r>
        <w:rPr>
          <w:rFonts w:hint="eastAsia" w:ascii="仿宋" w:hAnsi="仿宋" w:eastAsia="仿宋" w:cs="仿宋"/>
          <w:sz w:val="28"/>
          <w:szCs w:val="28"/>
        </w:rPr>
        <w:t>恒远爆破资助少数民族困难群众   南部永生为凤凰岛村捐赠物资</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4" w:name="_Toc99373591"/>
      <w:r>
        <w:rPr>
          <w:rFonts w:hint="eastAsia" w:ascii="仿宋" w:hAnsi="仿宋" w:eastAsia="仿宋" w:cs="仿宋"/>
          <w:color w:val="000000" w:themeColor="text1"/>
          <w:szCs w:val="32"/>
          <w14:textFill>
            <w14:solidFill>
              <w14:schemeClr w14:val="tx1"/>
            </w14:solidFill>
          </w14:textFill>
        </w:rPr>
        <w:t>六、维护社会安全</w:t>
      </w:r>
      <w:bookmarkEnd w:id="54"/>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积极投身维护社会安全与稳定工作，江南爆破积极配合属地公安，销毁危害社会安全的废弃危险爆炸物品。2021年汛期，南部永生配合公安、武警等单位成功炸沉三艘危害下游防洪设施的废弃船只。新能源公司贵州瓮安花竹山风电场联合当地政府及群众，及时扑灭山火，保障了群众生命财产安全。</w:t>
      </w:r>
    </w:p>
    <w:p>
      <w:pPr>
        <w:pStyle w:val="2"/>
        <w:jc w:val="center"/>
      </w:pPr>
      <w:r>
        <w:drawing>
          <wp:inline distT="0" distB="0" distL="114300" distR="114300">
            <wp:extent cx="5268595" cy="3274695"/>
            <wp:effectExtent l="0" t="0" r="1905" b="190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44"/>
                    <a:stretch>
                      <a:fillRect/>
                    </a:stretch>
                  </pic:blipFill>
                  <pic:spPr>
                    <a:xfrm>
                      <a:off x="0" y="0"/>
                      <a:ext cx="5268595" cy="3274695"/>
                    </a:xfrm>
                    <a:prstGeom prst="rect">
                      <a:avLst/>
                    </a:prstGeom>
                    <a:noFill/>
                    <a:ln>
                      <a:noFill/>
                    </a:ln>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南部永生爆破公司炸沉三艘废弃船只排除隐患</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5" w:name="_Toc99373592"/>
      <w:r>
        <w:rPr>
          <w:rFonts w:hint="eastAsia" w:ascii="仿宋" w:hAnsi="仿宋" w:eastAsia="仿宋" w:cs="仿宋"/>
          <w:color w:val="000000" w:themeColor="text1"/>
          <w:szCs w:val="32"/>
          <w14:textFill>
            <w14:solidFill>
              <w14:schemeClr w14:val="tx1"/>
            </w14:solidFill>
          </w14:textFill>
        </w:rPr>
        <w:t>七、积极促进就业</w:t>
      </w:r>
      <w:bookmarkEnd w:id="55"/>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公司积极响应地方政府的稳岗政策，努力拓展市场，增加劳动岗位，在稳定现</w:t>
      </w:r>
      <w:r>
        <w:rPr>
          <w:rFonts w:hint="eastAsia" w:ascii="仿宋" w:hAnsi="仿宋" w:eastAsia="仿宋" w:cs="仿宋"/>
          <w:color w:val="000000" w:themeColor="text1"/>
          <w:sz w:val="32"/>
          <w:szCs w:val="32"/>
          <w14:textFill>
            <w14:solidFill>
              <w14:schemeClr w14:val="tx1"/>
            </w14:solidFill>
          </w14:textFill>
        </w:rPr>
        <w:t>有员工的同时还适当吸纳和补充劳动力。2021年，招收应届毕业生79人。所属多家公司建立高校“产学研合作示范基地”“大学生实习基地”。新疆天河、江南油相、南理工科化、安徽向科、湖北帅力等积极促进残疾人就业。</w:t>
      </w:r>
    </w:p>
    <w:p>
      <w:pPr>
        <w:pStyle w:val="2"/>
      </w:pPr>
      <w:r>
        <w:drawing>
          <wp:inline distT="0" distB="0" distL="114300" distR="114300">
            <wp:extent cx="2344420" cy="1497965"/>
            <wp:effectExtent l="0" t="0" r="5080" b="635"/>
            <wp:docPr id="32" name="图片 1" descr="企业微信截图_1641883476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企业微信截图_16418834763077"/>
                    <pic:cNvPicPr>
                      <a:picLocks noChangeAspect="1"/>
                    </pic:cNvPicPr>
                  </pic:nvPicPr>
                  <pic:blipFill>
                    <a:blip r:embed="rId45"/>
                    <a:srcRect t="2823"/>
                    <a:stretch>
                      <a:fillRect/>
                    </a:stretch>
                  </pic:blipFill>
                  <pic:spPr>
                    <a:xfrm>
                      <a:off x="0" y="0"/>
                      <a:ext cx="2344420" cy="1497965"/>
                    </a:xfrm>
                    <a:prstGeom prst="rect">
                      <a:avLst/>
                    </a:prstGeom>
                  </pic:spPr>
                </pic:pic>
              </a:graphicData>
            </a:graphic>
          </wp:inline>
        </w:drawing>
      </w:r>
      <w:r>
        <w:rPr>
          <w:rFonts w:hint="eastAsia"/>
        </w:rPr>
        <w:t xml:space="preserve"> </w:t>
      </w:r>
      <w:r>
        <w:rPr>
          <w:rFonts w:hint="eastAsia"/>
        </w:rPr>
        <w:drawing>
          <wp:inline distT="0" distB="0" distL="114300" distR="114300">
            <wp:extent cx="2566670" cy="1534160"/>
            <wp:effectExtent l="0" t="0" r="11430" b="2540"/>
            <wp:docPr id="33" name="图片 33" descr="7c359dec49b2ca033c4a34820674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c359dec49b2ca033c4a34820674eea"/>
                    <pic:cNvPicPr>
                      <a:picLocks noChangeAspect="1"/>
                    </pic:cNvPicPr>
                  </pic:nvPicPr>
                  <pic:blipFill>
                    <a:blip r:embed="rId46"/>
                    <a:stretch>
                      <a:fillRect/>
                    </a:stretch>
                  </pic:blipFill>
                  <pic:spPr>
                    <a:xfrm>
                      <a:off x="0" y="0"/>
                      <a:ext cx="2566670" cy="1534160"/>
                    </a:xfrm>
                    <a:prstGeom prst="rect">
                      <a:avLst/>
                    </a:prstGeom>
                  </pic:spPr>
                </pic:pic>
              </a:graphicData>
            </a:graphic>
          </wp:inline>
        </w:drawing>
      </w:r>
    </w:p>
    <w:p>
      <w:pPr>
        <w:jc w:val="center"/>
        <w:rPr>
          <w:rFonts w:ascii="仿宋" w:hAnsi="仿宋" w:eastAsia="仿宋" w:cs="仿宋"/>
          <w:sz w:val="28"/>
          <w:szCs w:val="28"/>
        </w:rPr>
      </w:pPr>
      <w:r>
        <w:rPr>
          <w:rFonts w:hint="eastAsia" w:ascii="仿宋" w:hAnsi="仿宋" w:eastAsia="仿宋" w:cs="仿宋"/>
          <w:sz w:val="28"/>
          <w:szCs w:val="28"/>
        </w:rPr>
        <w:t>江南化工2021年校园招聘现场</w:t>
      </w:r>
    </w:p>
    <w:p>
      <w:r>
        <w:rPr>
          <w:rFonts w:hint="eastAsia"/>
        </w:rPr>
        <w:drawing>
          <wp:inline distT="0" distB="0" distL="114300" distR="114300">
            <wp:extent cx="5273675" cy="2402205"/>
            <wp:effectExtent l="0" t="0" r="9525" b="10795"/>
            <wp:docPr id="41" name="图片 41" descr="微信图片_2022032618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20326182247"/>
                    <pic:cNvPicPr>
                      <a:picLocks noChangeAspect="1"/>
                    </pic:cNvPicPr>
                  </pic:nvPicPr>
                  <pic:blipFill>
                    <a:blip r:embed="rId47"/>
                    <a:stretch>
                      <a:fillRect/>
                    </a:stretch>
                  </pic:blipFill>
                  <pic:spPr>
                    <a:xfrm>
                      <a:off x="0" y="0"/>
                      <a:ext cx="5273675" cy="2402205"/>
                    </a:xfrm>
                    <a:prstGeom prst="rect">
                      <a:avLst/>
                    </a:prstGeom>
                  </pic:spPr>
                </pic:pic>
              </a:graphicData>
            </a:graphic>
          </wp:inline>
        </w:drawing>
      </w:r>
    </w:p>
    <w:p>
      <w:pPr>
        <w:pStyle w:val="2"/>
        <w:jc w:val="center"/>
        <w:rPr>
          <w:rFonts w:ascii="仿宋" w:hAnsi="仿宋" w:eastAsia="仿宋" w:cs="仿宋"/>
          <w:bCs/>
          <w:color w:val="000000" w:themeColor="text1"/>
          <w14:textFill>
            <w14:solidFill>
              <w14:schemeClr w14:val="tx1"/>
            </w14:solidFill>
          </w14:textFill>
        </w:rPr>
      </w:pPr>
      <w:r>
        <w:rPr>
          <w:rFonts w:hint="eastAsia" w:ascii="仿宋" w:hAnsi="仿宋" w:eastAsia="仿宋" w:cs="仿宋"/>
          <w:bCs/>
          <w:color w:val="000000" w:themeColor="text1"/>
          <w14:textFill>
            <w14:solidFill>
              <w14:schemeClr w14:val="tx1"/>
            </w14:solidFill>
          </w14:textFill>
        </w:rPr>
        <w:t>安徽理工大学学生到宁国分公司参观实习</w:t>
      </w:r>
    </w:p>
    <w:p>
      <w:pPr>
        <w:rPr>
          <w:rFonts w:ascii="仿宋" w:hAnsi="仿宋" w:eastAsia="仿宋" w:cs="仿宋"/>
          <w:bCs/>
          <w:color w:val="000000" w:themeColor="text1"/>
          <w:kern w:val="0"/>
          <w:sz w:val="32"/>
          <w:szCs w:val="32"/>
          <w14:textFill>
            <w14:solidFill>
              <w14:schemeClr w14:val="tx1"/>
            </w14:solidFill>
          </w14:textFill>
        </w:rPr>
      </w:pPr>
      <w:r>
        <w:rPr>
          <w:rFonts w:hint="eastAsia" w:ascii="仿宋" w:hAnsi="仿宋" w:eastAsia="仿宋" w:cs="仿宋"/>
          <w:bCs/>
          <w:color w:val="000000" w:themeColor="text1"/>
          <w:kern w:val="0"/>
          <w:sz w:val="32"/>
          <w:szCs w:val="32"/>
          <w14:textFill>
            <w14:solidFill>
              <w14:schemeClr w14:val="tx1"/>
            </w14:solidFill>
          </w14:textFill>
        </w:rPr>
        <w:drawing>
          <wp:inline distT="0" distB="0" distL="114300" distR="114300">
            <wp:extent cx="5273675" cy="3955415"/>
            <wp:effectExtent l="0" t="0" r="9525" b="6985"/>
            <wp:docPr id="42" name="图片 42" descr="8a2ab53022d3e4e990ddb3539bba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8a2ab53022d3e4e990ddb3539bba282"/>
                    <pic:cNvPicPr>
                      <a:picLocks noChangeAspect="1"/>
                    </pic:cNvPicPr>
                  </pic:nvPicPr>
                  <pic:blipFill>
                    <a:blip r:embed="rId48"/>
                    <a:stretch>
                      <a:fillRect/>
                    </a:stretch>
                  </pic:blipFill>
                  <pic:spPr>
                    <a:xfrm>
                      <a:off x="0" y="0"/>
                      <a:ext cx="5273675" cy="3955415"/>
                    </a:xfrm>
                    <a:prstGeom prst="rect">
                      <a:avLst/>
                    </a:prstGeom>
                  </pic:spPr>
                </pic:pic>
              </a:graphicData>
            </a:graphic>
          </wp:inline>
        </w:drawing>
      </w:r>
    </w:p>
    <w:p>
      <w:pPr>
        <w:pStyle w:val="2"/>
        <w:jc w:val="center"/>
      </w:pPr>
      <w:r>
        <w:rPr>
          <w:rFonts w:hint="eastAsia" w:ascii="仿宋" w:hAnsi="仿宋" w:eastAsia="仿宋" w:cs="仿宋"/>
          <w:bCs/>
          <w:color w:val="000000" w:themeColor="text1"/>
          <w14:textFill>
            <w14:solidFill>
              <w14:schemeClr w14:val="tx1"/>
            </w14:solidFill>
          </w14:textFill>
        </w:rPr>
        <w:t>安徽理工大学学生到马鞍山公司参观实习</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6" w:name="_Toc99373593"/>
      <w:r>
        <w:rPr>
          <w:rFonts w:hint="eastAsia" w:ascii="仿宋" w:hAnsi="仿宋" w:eastAsia="仿宋" w:cs="仿宋"/>
          <w:color w:val="000000" w:themeColor="text1"/>
          <w:szCs w:val="32"/>
          <w14:textFill>
            <w14:solidFill>
              <w14:schemeClr w14:val="tx1"/>
            </w14:solidFill>
          </w14:textFill>
        </w:rPr>
        <w:t>八、员工志愿者活动</w:t>
      </w:r>
      <w:bookmarkEnd w:id="56"/>
    </w:p>
    <w:p>
      <w:pPr>
        <w:ind w:firstLine="640" w:firstLineChars="200"/>
        <w:rPr>
          <w:rFonts w:ascii="仿宋" w:hAnsi="仿宋" w:eastAsia="仿宋" w:cs="仿宋"/>
          <w:bCs/>
          <w:color w:val="000000" w:themeColor="text1"/>
          <w:kern w:val="0"/>
          <w:sz w:val="32"/>
          <w:szCs w:val="32"/>
          <w14:textFill>
            <w14:solidFill>
              <w14:schemeClr w14:val="tx1"/>
            </w14:solidFill>
          </w14:textFill>
        </w:rPr>
      </w:pPr>
      <w:r>
        <w:rPr>
          <w:rFonts w:hint="eastAsia" w:ascii="仿宋" w:hAnsi="仿宋" w:eastAsia="仿宋" w:cs="仿宋"/>
          <w:bCs/>
          <w:color w:val="000000" w:themeColor="text1"/>
          <w:kern w:val="0"/>
          <w:sz w:val="32"/>
          <w:szCs w:val="32"/>
          <w14:textFill>
            <w14:solidFill>
              <w14:schemeClr w14:val="tx1"/>
            </w14:solidFill>
          </w14:textFill>
        </w:rPr>
        <w:t>公司持续推动志愿服务工作，广泛开展学雷锋活动、志愿者帮扶活动，引导广大干部职工弘扬为人民服务的精神，传播向上向善的正能量，树立了良好的企业形象。</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7" w:name="_Toc99373594"/>
      <w:r>
        <w:rPr>
          <w:rFonts w:hint="eastAsia" w:ascii="仿宋" w:hAnsi="仿宋" w:eastAsia="仿宋" w:cs="仿宋"/>
          <w:color w:val="000000" w:themeColor="text1"/>
          <w:szCs w:val="32"/>
          <w14:textFill>
            <w14:solidFill>
              <w14:schemeClr w14:val="tx1"/>
            </w14:solidFill>
          </w14:textFill>
        </w:rPr>
        <w:t>九、年度责任荣誉</w:t>
      </w:r>
      <w:bookmarkEnd w:id="57"/>
    </w:p>
    <w:p>
      <w:pPr>
        <w:pStyle w:val="2"/>
        <w:spacing w:line="560" w:lineRule="exact"/>
        <w:ind w:firstLine="640" w:firstLineChars="200"/>
        <w:rPr>
          <w:rFonts w:ascii="仿宋" w:hAnsi="仿宋" w:eastAsia="仿宋" w:cs="仿宋"/>
          <w:color w:val="000000" w:themeColor="text1"/>
          <w:sz w:val="32"/>
          <w:szCs w:val="32"/>
          <w:lang w:bidi="ar"/>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在公司广大干部职工的共同努力下，江南化工总部及各所属公司2021年获得诸多荣誉。其中江南化工宁国分公司获安徽省市场监管局、安徽省经信厅知识产权优势培育企业荣誉称号、马鞍山公司获安徽省经信厅“安徽省绿色工厂”荣誉称号和“安徽省数字化车间”荣誉称号。四川绵竹兴远公司获“四川省科技成果转移转化示范企业”“德阳市军民融合企业”等多项殊荣。安徽向科公司积极履行职责，连续两年获安庆市“百企帮百村”脱贫攻坚先进单位和安庆市经信局系统先进基层党组织荣誉称号。在工业和信息化部新闻宣传中心举办的“百年百企”老照片背后的故事征集活动中，安徽向科荣获“优秀作品”奖。</w:t>
      </w:r>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pPr>
    </w:p>
    <w:p>
      <w:pPr>
        <w:pStyle w:val="2"/>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rPr>
          <w:rFonts w:ascii="仿宋" w:hAnsi="仿宋" w:eastAsia="仿宋" w:cs="仿宋"/>
          <w:color w:val="000000" w:themeColor="text1"/>
          <w:sz w:val="32"/>
          <w:szCs w:val="32"/>
          <w14:textFill>
            <w14:solidFill>
              <w14:schemeClr w14:val="tx1"/>
            </w14:solidFill>
          </w14:textFill>
        </w:rPr>
      </w:pPr>
    </w:p>
    <w:p>
      <w:pPr>
        <w:pStyle w:val="2"/>
      </w:pPr>
    </w:p>
    <w:p/>
    <w:p>
      <w:pPr>
        <w:pStyle w:val="2"/>
      </w:pPr>
    </w:p>
    <w:p/>
    <w:p>
      <w:pPr>
        <w:pStyle w:val="2"/>
      </w:pPr>
    </w:p>
    <w:p/>
    <w:p>
      <w:pPr>
        <w:spacing w:line="560" w:lineRule="exact"/>
        <w:ind w:firstLine="640" w:firstLineChars="200"/>
        <w:rPr>
          <w:rFonts w:ascii="仿宋" w:hAnsi="仿宋" w:eastAsia="仿宋" w:cs="仿宋"/>
          <w:color w:val="000000" w:themeColor="text1"/>
          <w:kern w:val="0"/>
          <w:sz w:val="32"/>
          <w:szCs w:val="32"/>
          <w:lang w:bidi="ar"/>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numPr>
          <w:ilvl w:val="0"/>
          <w:numId w:val="2"/>
        </w:numPr>
        <w:spacing w:before="0" w:after="0" w:line="560" w:lineRule="exact"/>
        <w:ind w:firstLine="643" w:firstLineChars="200"/>
        <w:jc w:val="center"/>
        <w:rPr>
          <w:rFonts w:ascii="黑体" w:hAnsi="黑体" w:eastAsia="黑体" w:cs="黑体"/>
          <w:color w:val="000000" w:themeColor="text1"/>
          <w:sz w:val="32"/>
          <w:szCs w:val="32"/>
          <w14:textFill>
            <w14:solidFill>
              <w14:schemeClr w14:val="tx1"/>
            </w14:solidFill>
          </w14:textFill>
        </w:rPr>
      </w:pPr>
      <w:bookmarkStart w:id="58" w:name="_Toc99373595"/>
      <w:r>
        <w:rPr>
          <w:rFonts w:hint="eastAsia" w:ascii="黑体" w:hAnsi="黑体" w:eastAsia="黑体" w:cs="黑体"/>
          <w:color w:val="000000" w:themeColor="text1"/>
          <w:sz w:val="32"/>
          <w:szCs w:val="32"/>
          <w14:textFill>
            <w14:solidFill>
              <w14:schemeClr w14:val="tx1"/>
            </w14:solidFill>
          </w14:textFill>
        </w:rPr>
        <w:t>展望</w:t>
      </w:r>
      <w:bookmarkEnd w:id="58"/>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59" w:name="_Toc99373596"/>
      <w:r>
        <w:rPr>
          <w:rFonts w:hint="eastAsia" w:ascii="仿宋" w:hAnsi="仿宋" w:eastAsia="仿宋" w:cs="仿宋"/>
          <w:color w:val="000000" w:themeColor="text1"/>
          <w:szCs w:val="32"/>
          <w14:textFill>
            <w14:solidFill>
              <w14:schemeClr w14:val="tx1"/>
            </w14:solidFill>
          </w14:textFill>
        </w:rPr>
        <w:t>一、公司发展战略</w:t>
      </w:r>
      <w:bookmarkEnd w:id="59"/>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公司董事会将坚决贯彻落实党中央决策部署、工信部民爆行业政策和“十四五”安全发展规划，坚持稳字当头、稳中求进，以支撑打造民爆现代产业链“链长”和推进国家级民爆技术创新中心建设为使命，以推动公司高质量发展为主题，聚焦民爆和新能源两大主业，按照“一体化、标准化、国际化、证券化、信息化、智能化”发展思路，坚持“人民至上、生命至上”，持续深化改革，打造世界一流、国内领先的民爆龙头企业，实现企业、员工和股东三者利益的和谐共赢，协同发展。</w:t>
      </w:r>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为实现规划目标，公司第六届董事会将充分发挥“定战略、作决策、防风险”作用，坚持“两个一以贯之”，坚持依法治企、权责对等、放管结合，以履行央企“三个责任”为抓手，不断提升企业发展各项能力，进一步健全运行机制，强化责任监督，以高水平公司治理推动高质量发展。</w:t>
      </w:r>
    </w:p>
    <w:p>
      <w:pPr>
        <w:pStyle w:val="4"/>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0" w:name="_Toc99373597"/>
      <w:r>
        <w:rPr>
          <w:rFonts w:hint="eastAsia" w:ascii="仿宋" w:hAnsi="仿宋" w:eastAsia="仿宋" w:cs="仿宋"/>
          <w:color w:val="000000" w:themeColor="text1"/>
          <w:szCs w:val="32"/>
          <w14:textFill>
            <w14:solidFill>
              <w14:schemeClr w14:val="tx1"/>
            </w14:solidFill>
          </w14:textFill>
        </w:rPr>
        <w:t>二、2022年总体经营策略和思路</w:t>
      </w:r>
      <w:bookmarkEnd w:id="60"/>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以习近平新时代中国特色社会主义思想为指导，深入贯彻落实党的十九届六中全会精神和中央经济工作会议精神，按照兵器工业集团、特能集团工作会、党建及党风廉政建设和反腐败工作会要求，准确把握公司发展定位，以高质量发展为主题，全面贯彻新发展理念，重点做好以下几方面工作。</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1" w:name="_Toc99373598"/>
      <w:r>
        <w:rPr>
          <w:rFonts w:ascii="仿宋" w:hAnsi="仿宋" w:eastAsia="仿宋" w:cs="仿宋"/>
          <w:color w:val="000000" w:themeColor="text1"/>
          <w:szCs w:val="32"/>
          <w14:textFill>
            <w14:solidFill>
              <w14:schemeClr w14:val="tx1"/>
            </w14:solidFill>
          </w14:textFill>
        </w:rPr>
        <w:t>（一）</w:t>
      </w:r>
      <w:r>
        <w:rPr>
          <w:rFonts w:hint="eastAsia" w:ascii="仿宋" w:hAnsi="仿宋" w:eastAsia="仿宋" w:cs="仿宋"/>
          <w:color w:val="000000" w:themeColor="text1"/>
          <w:szCs w:val="32"/>
          <w14:textFill>
            <w14:solidFill>
              <w14:schemeClr w14:val="tx1"/>
            </w14:solidFill>
          </w14:textFill>
        </w:rPr>
        <w:t>聚焦延伸产业链，开展多种形式“一体化”服务模式</w:t>
      </w:r>
      <w:bookmarkEnd w:id="61"/>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一是在新疆、安徽等核心市场区域开发民爆生产、销售、配送、爆破一体化服务模式；二是在大型地下矿山市场开展现场混装炸药爆破一体化服务模式；三是积极获取中小型矿山施工总承包一体化服务项目。</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2" w:name="_Toc99373599"/>
      <w:r>
        <w:rPr>
          <w:rFonts w:hint="eastAsia" w:ascii="仿宋" w:hAnsi="仿宋" w:eastAsia="仿宋" w:cs="仿宋"/>
          <w:color w:val="000000" w:themeColor="text1"/>
          <w:szCs w:val="32"/>
          <w14:textFill>
            <w14:solidFill>
              <w14:schemeClr w14:val="tx1"/>
            </w14:solidFill>
          </w14:textFill>
        </w:rPr>
        <w:t>（二）聚焦打造科技高地，构建新发展格局</w:t>
      </w:r>
      <w:bookmarkEnd w:id="62"/>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推进公司民爆技术创新中心建设，开展井下混装车系统、智能仓储系统、工业炸药生产线监测系统、工业炸药工艺等科研项目研究和研发，并运用信息化手段推进公司精细化管理。</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3" w:name="_Toc99373600"/>
      <w:r>
        <w:rPr>
          <w:rFonts w:hint="eastAsia" w:ascii="仿宋" w:hAnsi="仿宋" w:eastAsia="仿宋" w:cs="仿宋"/>
          <w:color w:val="000000" w:themeColor="text1"/>
          <w:szCs w:val="32"/>
          <w14:textFill>
            <w14:solidFill>
              <w14:schemeClr w14:val="tx1"/>
            </w14:solidFill>
          </w14:textFill>
        </w:rPr>
        <w:t>（三）聚焦安全管控，体系化提升本质安全水平</w:t>
      </w:r>
      <w:bookmarkEnd w:id="63"/>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加大安全技术改造和安全投入，强化安全、环保管理队伍建设，持续推进安全信息化和安全生产标准化建设，完善体系化安全管理提升。</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4" w:name="_Toc99373601"/>
      <w:r>
        <w:rPr>
          <w:rFonts w:hint="eastAsia" w:ascii="仿宋" w:hAnsi="仿宋" w:eastAsia="仿宋" w:cs="仿宋"/>
          <w:color w:val="000000" w:themeColor="text1"/>
          <w:szCs w:val="32"/>
          <w14:textFill>
            <w14:solidFill>
              <w14:schemeClr w14:val="tx1"/>
            </w14:solidFill>
          </w14:textFill>
        </w:rPr>
        <w:t>（四）聚焦做好市场开拓，奋力开创发展新局面</w:t>
      </w:r>
      <w:bookmarkEnd w:id="64"/>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充分利用兵器工业集团、特能集团的综合优势，加强与矿业及相关大型企业的战略合作，积极探索在矿山开采环节或爆破工段从自营模式转为外包模式，积极获取大型基建工程爆破项目。</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5" w:name="_Toc99373602"/>
      <w:r>
        <w:rPr>
          <w:rFonts w:hint="eastAsia" w:ascii="仿宋" w:hAnsi="仿宋" w:eastAsia="仿宋" w:cs="仿宋"/>
          <w:color w:val="000000" w:themeColor="text1"/>
          <w:szCs w:val="32"/>
          <w14:textFill>
            <w14:solidFill>
              <w14:schemeClr w14:val="tx1"/>
            </w14:solidFill>
          </w14:textFill>
        </w:rPr>
        <w:t>（五）聚焦优化国有产权，提升企业管理水平</w:t>
      </w:r>
      <w:bookmarkEnd w:id="65"/>
    </w:p>
    <w:p>
      <w:pPr>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一是逐步优化子公司股权结构，强化国有产权管控力度及管理效率。二是按照国企改革三年行动要求，妥善推进低效、无效法人主体压减工作。三是加强管理体系优化，完善内控体系建设，防范化解各类风险。</w:t>
      </w:r>
    </w:p>
    <w:p>
      <w:pPr>
        <w:pStyle w:val="5"/>
        <w:spacing w:before="0" w:after="0" w:line="560" w:lineRule="exact"/>
        <w:ind w:firstLine="643" w:firstLineChars="200"/>
        <w:rPr>
          <w:rFonts w:ascii="仿宋" w:hAnsi="仿宋" w:eastAsia="仿宋" w:cs="仿宋"/>
          <w:color w:val="000000" w:themeColor="text1"/>
          <w:szCs w:val="32"/>
          <w14:textFill>
            <w14:solidFill>
              <w14:schemeClr w14:val="tx1"/>
            </w14:solidFill>
          </w14:textFill>
        </w:rPr>
      </w:pPr>
      <w:bookmarkStart w:id="66" w:name="_Toc99373603"/>
      <w:r>
        <w:rPr>
          <w:rFonts w:hint="eastAsia" w:ascii="仿宋" w:hAnsi="仿宋" w:eastAsia="仿宋" w:cs="仿宋"/>
          <w:color w:val="000000" w:themeColor="text1"/>
          <w:szCs w:val="32"/>
          <w14:textFill>
            <w14:solidFill>
              <w14:schemeClr w14:val="tx1"/>
            </w14:solidFill>
          </w14:textFill>
        </w:rPr>
        <w:t>（六）聚焦发挥党建引领作用，助推公司高质量发展</w:t>
      </w:r>
      <w:bookmarkEnd w:id="66"/>
    </w:p>
    <w:p>
      <w:pPr>
        <w:widowControl/>
        <w:spacing w:line="560" w:lineRule="exact"/>
        <w:ind w:firstLine="640" w:firstLineChars="200"/>
        <w:jc w:val="left"/>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一是强化思想政治引领，通过学习研讨、形势教育、党建制度完善、企业文化推广等，贯彻新发展理念，凝聚发展共识。二是深化干部人事制度改革，加快推动所属公司董事会、经理层管理改革，加强干部选拔、培养、交流。三是持续推进党风廉政建设和反腐败工作。</w:t>
      </w:r>
    </w:p>
    <w:p>
      <w:pPr>
        <w:pStyle w:val="2"/>
        <w:spacing w:line="560" w:lineRule="exact"/>
        <w:ind w:firstLine="640" w:firstLineChars="200"/>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snapToGrid w:val="0"/>
          <w:color w:val="000000" w:themeColor="text1"/>
          <w:sz w:val="32"/>
          <w:szCs w:val="32"/>
          <w14:textFill>
            <w14:solidFill>
              <w14:schemeClr w14:val="tx1"/>
            </w14:solidFill>
          </w14:textFill>
        </w:rPr>
        <w:t>公司将继续保持良好的经营状况和持续盈利能力，营造风清气正的发展环境、干事创业的良好氛围，在新的赶考路上实现高质量发展，为投资者带来长期良好的回报。</w:t>
      </w:r>
    </w:p>
    <w:p>
      <w:pPr>
        <w:pStyle w:val="16"/>
        <w:spacing w:after="0"/>
        <w:ind w:firstLine="643"/>
        <w:rPr>
          <w:rFonts w:ascii="仿宋" w:hAnsi="仿宋" w:eastAsia="仿宋" w:cs="仿宋"/>
          <w:b/>
          <w:bCs/>
          <w:color w:val="000000" w:themeColor="text1"/>
          <w:szCs w:val="32"/>
          <w14:textFill>
            <w14:solidFill>
              <w14:schemeClr w14:val="tx1"/>
            </w14:solidFill>
          </w14:textFill>
        </w:rPr>
      </w:pPr>
    </w:p>
    <w:p>
      <w:pPr>
        <w:spacing w:line="560" w:lineRule="exact"/>
        <w:ind w:firstLine="643" w:firstLineChars="200"/>
        <w:rPr>
          <w:rFonts w:ascii="仿宋" w:hAnsi="仿宋" w:eastAsia="仿宋" w:cs="仿宋"/>
          <w:b/>
          <w:bCs/>
          <w:color w:val="000000" w:themeColor="text1"/>
          <w:sz w:val="32"/>
          <w:szCs w:val="32"/>
          <w14:textFill>
            <w14:solidFill>
              <w14:schemeClr w14:val="tx1"/>
            </w14:solidFill>
          </w14:textFill>
        </w:rPr>
        <w:sectPr>
          <w:pgSz w:w="11906" w:h="16838"/>
          <w:pgMar w:top="1440" w:right="1800" w:bottom="1440" w:left="1800" w:header="680" w:footer="992" w:gutter="0"/>
          <w:cols w:space="425" w:num="1"/>
          <w:docGrid w:type="lines" w:linePitch="312" w:charSpace="0"/>
        </w:sectPr>
      </w:pPr>
    </w:p>
    <w:p>
      <w:pPr>
        <w:pStyle w:val="3"/>
        <w:spacing w:before="0" w:after="0" w:line="560" w:lineRule="exact"/>
        <w:jc w:val="center"/>
        <w:rPr>
          <w:rFonts w:ascii="黑体" w:hAnsi="黑体" w:eastAsia="黑体" w:cs="黑体"/>
          <w:color w:val="000000" w:themeColor="text1"/>
          <w:sz w:val="32"/>
          <w:szCs w:val="32"/>
          <w14:textFill>
            <w14:solidFill>
              <w14:schemeClr w14:val="tx1"/>
            </w14:solidFill>
          </w14:textFill>
        </w:rPr>
      </w:pPr>
      <w:bookmarkStart w:id="67" w:name="_Toc99373604"/>
      <w:r>
        <w:rPr>
          <w:rFonts w:hint="eastAsia" w:ascii="黑体" w:hAnsi="黑体" w:eastAsia="黑体" w:cs="黑体"/>
          <w:color w:val="000000" w:themeColor="text1"/>
          <w:sz w:val="32"/>
          <w:szCs w:val="32"/>
          <w14:textFill>
            <w14:solidFill>
              <w14:schemeClr w14:val="tx1"/>
            </w14:solidFill>
          </w14:textFill>
        </w:rPr>
        <w:t>意见反馈表</w:t>
      </w:r>
      <w:bookmarkEnd w:id="67"/>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本报告是安徽江南化工股份有限公司向社会公开发布的第一份企业社会责任报告，为了持续改进公司社会责任工作，不断提高履行社会责任的能力和水平，真诚希望您对本报告提出意见和建议并反馈给我们。</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传  真：0551-65862577</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E-mail：</w:t>
      </w:r>
      <w:r>
        <w:rPr>
          <w:rFonts w:ascii="仿宋" w:hAnsi="仿宋" w:eastAsia="仿宋" w:cs="仿宋"/>
          <w:color w:val="000000" w:themeColor="text1"/>
          <w:szCs w:val="32"/>
          <w14:textFill>
            <w14:solidFill>
              <w14:schemeClr w14:val="tx1"/>
            </w14:solidFill>
          </w14:textFill>
        </w:rPr>
        <w:t>gaoli@ahjnhg.com</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邮寄：安徽省合肥市高新技术开发区创新大道2800号创新产业园J2A栋17楼</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1、您对公司社会责任报告的总体评价</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○好  ○较好  ○一般</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2、您认为本报告所披露信息、数据、指标的清晰、准确、完整度如何</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○高  ○较高  ○一般  ○较低  ○低</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3、您认公司在社会责任方面做得如何</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○好  ○较好  ○一般  ○差    ○不了解</w:t>
      </w:r>
    </w:p>
    <w:p>
      <w:pPr>
        <w:pStyle w:val="16"/>
        <w:spacing w:after="0"/>
        <w:ind w:firstLine="640"/>
        <w:rPr>
          <w:rFonts w:ascii="仿宋" w:hAnsi="仿宋" w:eastAsia="仿宋" w:cs="仿宋"/>
          <w:color w:val="000000" w:themeColor="text1"/>
          <w:szCs w:val="32"/>
          <w14:textFill>
            <w14:solidFill>
              <w14:schemeClr w14:val="tx1"/>
            </w14:solidFill>
          </w14:textFill>
        </w:rPr>
      </w:pPr>
      <w:r>
        <w:rPr>
          <w:rFonts w:hint="eastAsia" w:ascii="仿宋" w:hAnsi="仿宋" w:eastAsia="仿宋" w:cs="仿宋"/>
          <w:color w:val="000000" w:themeColor="text1"/>
          <w:szCs w:val="32"/>
          <w14:textFill>
            <w14:solidFill>
              <w14:schemeClr w14:val="tx1"/>
            </w14:solidFill>
          </w14:textFill>
        </w:rPr>
        <w:t>4、您想持续了解的内容以及对本报告的意见和建议，欢迎在此提出：</w:t>
      </w:r>
    </w:p>
    <w:sectPr>
      <w:footerReference r:id="rId4" w:type="default"/>
      <w:pgSz w:w="11906" w:h="16838"/>
      <w:pgMar w:top="1440" w:right="1800" w:bottom="1440" w:left="1800" w:header="680"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altName w:val="Arial Unicode MS"/>
    <w:panose1 w:val="00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FFFFFFF" w:usb1="E9FFFFFF"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05469638"/>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9804FEF"/>
    <w:multiLevelType w:val="singleLevel"/>
    <w:tmpl w:val="E9804FEF"/>
    <w:lvl w:ilvl="0" w:tentative="0">
      <w:start w:val="2"/>
      <w:numFmt w:val="chineseCounting"/>
      <w:suff w:val="nothing"/>
      <w:lvlText w:val="%1、"/>
      <w:lvlJc w:val="left"/>
      <w:rPr>
        <w:rFonts w:hint="eastAsia"/>
      </w:rPr>
    </w:lvl>
  </w:abstractNum>
  <w:abstractNum w:abstractNumId="1">
    <w:nsid w:val="0EC51E05"/>
    <w:multiLevelType w:val="singleLevel"/>
    <w:tmpl w:val="0EC51E05"/>
    <w:lvl w:ilvl="0" w:tentative="0">
      <w:start w:val="1"/>
      <w:numFmt w:val="chineseCounting"/>
      <w:suff w:val="nothing"/>
      <w:lvlText w:val="%1、"/>
      <w:lvlJc w:val="left"/>
      <w:rPr>
        <w:rFonts w:hint="eastAsia"/>
      </w:rPr>
    </w:lvl>
  </w:abstractNum>
  <w:abstractNum w:abstractNumId="2">
    <w:nsid w:val="74B90130"/>
    <w:multiLevelType w:val="singleLevel"/>
    <w:tmpl w:val="74B90130"/>
    <w:lvl w:ilvl="0" w:tentative="0">
      <w:start w:val="5"/>
      <w:numFmt w:val="chineseCounting"/>
      <w:suff w:val="space"/>
      <w:lvlText w:val="第%1章"/>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64F"/>
    <w:rsid w:val="00014210"/>
    <w:rsid w:val="00020750"/>
    <w:rsid w:val="00055522"/>
    <w:rsid w:val="000976E5"/>
    <w:rsid w:val="000D192B"/>
    <w:rsid w:val="000D2A8C"/>
    <w:rsid w:val="000E664F"/>
    <w:rsid w:val="000F2985"/>
    <w:rsid w:val="00110F3C"/>
    <w:rsid w:val="00112354"/>
    <w:rsid w:val="00133002"/>
    <w:rsid w:val="001B78F3"/>
    <w:rsid w:val="001C31F4"/>
    <w:rsid w:val="00211AE2"/>
    <w:rsid w:val="002641AC"/>
    <w:rsid w:val="00292890"/>
    <w:rsid w:val="0030409E"/>
    <w:rsid w:val="003105CA"/>
    <w:rsid w:val="003513F2"/>
    <w:rsid w:val="003710C5"/>
    <w:rsid w:val="003A5B4D"/>
    <w:rsid w:val="003D4DFC"/>
    <w:rsid w:val="003E4E7C"/>
    <w:rsid w:val="004A18FE"/>
    <w:rsid w:val="004E1675"/>
    <w:rsid w:val="004E2026"/>
    <w:rsid w:val="00502F13"/>
    <w:rsid w:val="00522592"/>
    <w:rsid w:val="005517B4"/>
    <w:rsid w:val="005A5E61"/>
    <w:rsid w:val="00627E77"/>
    <w:rsid w:val="00646831"/>
    <w:rsid w:val="00676D63"/>
    <w:rsid w:val="00695CF3"/>
    <w:rsid w:val="006A5E20"/>
    <w:rsid w:val="006B3F24"/>
    <w:rsid w:val="006B5F10"/>
    <w:rsid w:val="006D4274"/>
    <w:rsid w:val="006D6C7B"/>
    <w:rsid w:val="006D769B"/>
    <w:rsid w:val="007B0235"/>
    <w:rsid w:val="007B7B9F"/>
    <w:rsid w:val="0083002D"/>
    <w:rsid w:val="0084145E"/>
    <w:rsid w:val="008B5088"/>
    <w:rsid w:val="008F5A8F"/>
    <w:rsid w:val="00952C22"/>
    <w:rsid w:val="00986E09"/>
    <w:rsid w:val="009C3936"/>
    <w:rsid w:val="009F7A57"/>
    <w:rsid w:val="00A1721E"/>
    <w:rsid w:val="00A3407F"/>
    <w:rsid w:val="00B22F06"/>
    <w:rsid w:val="00B4617E"/>
    <w:rsid w:val="00BA0C1B"/>
    <w:rsid w:val="00BC357B"/>
    <w:rsid w:val="00BC3F78"/>
    <w:rsid w:val="00BC549F"/>
    <w:rsid w:val="00BF03B7"/>
    <w:rsid w:val="00C07D2D"/>
    <w:rsid w:val="00C11550"/>
    <w:rsid w:val="00C45CFA"/>
    <w:rsid w:val="00C50E8C"/>
    <w:rsid w:val="00C732DF"/>
    <w:rsid w:val="00C772F5"/>
    <w:rsid w:val="00CB1FF2"/>
    <w:rsid w:val="00CE30F3"/>
    <w:rsid w:val="00D07B2A"/>
    <w:rsid w:val="00D11120"/>
    <w:rsid w:val="00D3400A"/>
    <w:rsid w:val="00D75F2D"/>
    <w:rsid w:val="00D80EEB"/>
    <w:rsid w:val="00DD0078"/>
    <w:rsid w:val="00DE499B"/>
    <w:rsid w:val="00DE6050"/>
    <w:rsid w:val="00E05F2B"/>
    <w:rsid w:val="00E73926"/>
    <w:rsid w:val="00E961B2"/>
    <w:rsid w:val="00EA49F6"/>
    <w:rsid w:val="00F80228"/>
    <w:rsid w:val="00F807DB"/>
    <w:rsid w:val="00FA5CBC"/>
    <w:rsid w:val="00FE18B5"/>
    <w:rsid w:val="011005DC"/>
    <w:rsid w:val="012D0479"/>
    <w:rsid w:val="014A1D31"/>
    <w:rsid w:val="014F4774"/>
    <w:rsid w:val="01840C60"/>
    <w:rsid w:val="0196455D"/>
    <w:rsid w:val="01A85D51"/>
    <w:rsid w:val="01D27561"/>
    <w:rsid w:val="01DF0315"/>
    <w:rsid w:val="01E07430"/>
    <w:rsid w:val="023F2339"/>
    <w:rsid w:val="02663402"/>
    <w:rsid w:val="026926BF"/>
    <w:rsid w:val="02CE773E"/>
    <w:rsid w:val="031D019A"/>
    <w:rsid w:val="031D5492"/>
    <w:rsid w:val="03697A90"/>
    <w:rsid w:val="037C517E"/>
    <w:rsid w:val="03906A9D"/>
    <w:rsid w:val="03BE2679"/>
    <w:rsid w:val="03C230FA"/>
    <w:rsid w:val="03F61A23"/>
    <w:rsid w:val="04506B90"/>
    <w:rsid w:val="04AA3F2A"/>
    <w:rsid w:val="04CC6CFA"/>
    <w:rsid w:val="04CF5605"/>
    <w:rsid w:val="05121219"/>
    <w:rsid w:val="05181214"/>
    <w:rsid w:val="05A02C7F"/>
    <w:rsid w:val="05B42F17"/>
    <w:rsid w:val="05D940E0"/>
    <w:rsid w:val="05EB3940"/>
    <w:rsid w:val="060079B3"/>
    <w:rsid w:val="064C56CA"/>
    <w:rsid w:val="065F1CC3"/>
    <w:rsid w:val="065F2756"/>
    <w:rsid w:val="06960AA6"/>
    <w:rsid w:val="069A3818"/>
    <w:rsid w:val="06A37E34"/>
    <w:rsid w:val="06B33465"/>
    <w:rsid w:val="06ED4E35"/>
    <w:rsid w:val="06EF6CDB"/>
    <w:rsid w:val="06F4065F"/>
    <w:rsid w:val="07574637"/>
    <w:rsid w:val="07683AF2"/>
    <w:rsid w:val="07A71F24"/>
    <w:rsid w:val="07F975CA"/>
    <w:rsid w:val="083C54A6"/>
    <w:rsid w:val="08A51D8F"/>
    <w:rsid w:val="08AA0D8A"/>
    <w:rsid w:val="08B55DDE"/>
    <w:rsid w:val="08E72337"/>
    <w:rsid w:val="092E04B2"/>
    <w:rsid w:val="094B2584"/>
    <w:rsid w:val="09585F32"/>
    <w:rsid w:val="096F07A6"/>
    <w:rsid w:val="097843D0"/>
    <w:rsid w:val="09BD105E"/>
    <w:rsid w:val="09FA34EB"/>
    <w:rsid w:val="0A067AB9"/>
    <w:rsid w:val="0A3E449A"/>
    <w:rsid w:val="0A6A629A"/>
    <w:rsid w:val="0A907A0A"/>
    <w:rsid w:val="0B26595A"/>
    <w:rsid w:val="0BA77FB4"/>
    <w:rsid w:val="0BD53BE7"/>
    <w:rsid w:val="0BDB6AA8"/>
    <w:rsid w:val="0BF16A02"/>
    <w:rsid w:val="0C3053D3"/>
    <w:rsid w:val="0C58139F"/>
    <w:rsid w:val="0C8308A6"/>
    <w:rsid w:val="0CA072C0"/>
    <w:rsid w:val="0D3B208E"/>
    <w:rsid w:val="0EEA6919"/>
    <w:rsid w:val="0F2F35E7"/>
    <w:rsid w:val="0F4B47C9"/>
    <w:rsid w:val="0F567752"/>
    <w:rsid w:val="0F6D5DC5"/>
    <w:rsid w:val="0F753717"/>
    <w:rsid w:val="0F8461F3"/>
    <w:rsid w:val="0FBF0B10"/>
    <w:rsid w:val="100D27F0"/>
    <w:rsid w:val="105A5869"/>
    <w:rsid w:val="106B4022"/>
    <w:rsid w:val="10757746"/>
    <w:rsid w:val="108160EB"/>
    <w:rsid w:val="10B239FE"/>
    <w:rsid w:val="10B35E4E"/>
    <w:rsid w:val="10F37968"/>
    <w:rsid w:val="118C302D"/>
    <w:rsid w:val="11A72525"/>
    <w:rsid w:val="11C4189D"/>
    <w:rsid w:val="11DA252C"/>
    <w:rsid w:val="126F55D3"/>
    <w:rsid w:val="12886152"/>
    <w:rsid w:val="12981EB8"/>
    <w:rsid w:val="12D80930"/>
    <w:rsid w:val="13175453"/>
    <w:rsid w:val="13390D96"/>
    <w:rsid w:val="13555CFB"/>
    <w:rsid w:val="1355733F"/>
    <w:rsid w:val="13D65F26"/>
    <w:rsid w:val="13DC299E"/>
    <w:rsid w:val="14396671"/>
    <w:rsid w:val="14672331"/>
    <w:rsid w:val="146742F7"/>
    <w:rsid w:val="14A31264"/>
    <w:rsid w:val="14B61160"/>
    <w:rsid w:val="14FB5D21"/>
    <w:rsid w:val="15040656"/>
    <w:rsid w:val="15211C4B"/>
    <w:rsid w:val="15406CD8"/>
    <w:rsid w:val="157B66FD"/>
    <w:rsid w:val="15C71A37"/>
    <w:rsid w:val="15D83320"/>
    <w:rsid w:val="15DF6E27"/>
    <w:rsid w:val="15F630D7"/>
    <w:rsid w:val="15FD11D1"/>
    <w:rsid w:val="161B0112"/>
    <w:rsid w:val="162F5EEB"/>
    <w:rsid w:val="163D6AB1"/>
    <w:rsid w:val="1674413B"/>
    <w:rsid w:val="17041BE2"/>
    <w:rsid w:val="17100A02"/>
    <w:rsid w:val="1776627E"/>
    <w:rsid w:val="17A618F9"/>
    <w:rsid w:val="17E32F71"/>
    <w:rsid w:val="17FF4C2C"/>
    <w:rsid w:val="183F48C2"/>
    <w:rsid w:val="18415F94"/>
    <w:rsid w:val="187B6966"/>
    <w:rsid w:val="18AE1A47"/>
    <w:rsid w:val="18C84759"/>
    <w:rsid w:val="18DB39BD"/>
    <w:rsid w:val="18F64569"/>
    <w:rsid w:val="19183D31"/>
    <w:rsid w:val="19211ABB"/>
    <w:rsid w:val="19465C6D"/>
    <w:rsid w:val="19A853CA"/>
    <w:rsid w:val="19EB62CA"/>
    <w:rsid w:val="1A6A469A"/>
    <w:rsid w:val="1AA11864"/>
    <w:rsid w:val="1B0E2C71"/>
    <w:rsid w:val="1B522B5E"/>
    <w:rsid w:val="1B63605B"/>
    <w:rsid w:val="1B7348C0"/>
    <w:rsid w:val="1B9D2535"/>
    <w:rsid w:val="1BBF4A54"/>
    <w:rsid w:val="1C534DE0"/>
    <w:rsid w:val="1C592D04"/>
    <w:rsid w:val="1C9A4CF6"/>
    <w:rsid w:val="1CA618BD"/>
    <w:rsid w:val="1CBD46CA"/>
    <w:rsid w:val="1CDA1212"/>
    <w:rsid w:val="1D2D0F85"/>
    <w:rsid w:val="1D2D73DF"/>
    <w:rsid w:val="1D6C363E"/>
    <w:rsid w:val="1DC2701D"/>
    <w:rsid w:val="1DEA7665"/>
    <w:rsid w:val="1E0740D4"/>
    <w:rsid w:val="1E856C6D"/>
    <w:rsid w:val="1EF54F12"/>
    <w:rsid w:val="1F426B6E"/>
    <w:rsid w:val="1F55429E"/>
    <w:rsid w:val="1F981521"/>
    <w:rsid w:val="1F9E64D5"/>
    <w:rsid w:val="1FB37DC9"/>
    <w:rsid w:val="1FBC2C9C"/>
    <w:rsid w:val="20162453"/>
    <w:rsid w:val="20A24ABD"/>
    <w:rsid w:val="20BD7CCA"/>
    <w:rsid w:val="20C80232"/>
    <w:rsid w:val="20D858B3"/>
    <w:rsid w:val="21244BB0"/>
    <w:rsid w:val="212F0BB3"/>
    <w:rsid w:val="21374317"/>
    <w:rsid w:val="21463165"/>
    <w:rsid w:val="214B28E2"/>
    <w:rsid w:val="21781F82"/>
    <w:rsid w:val="220D313B"/>
    <w:rsid w:val="225B617D"/>
    <w:rsid w:val="226D64CF"/>
    <w:rsid w:val="227C4CDC"/>
    <w:rsid w:val="228D6AB7"/>
    <w:rsid w:val="229579CC"/>
    <w:rsid w:val="22A12211"/>
    <w:rsid w:val="22ED268A"/>
    <w:rsid w:val="22EE03CB"/>
    <w:rsid w:val="22FF203A"/>
    <w:rsid w:val="23372ABA"/>
    <w:rsid w:val="23734403"/>
    <w:rsid w:val="23752083"/>
    <w:rsid w:val="237D2742"/>
    <w:rsid w:val="23A92664"/>
    <w:rsid w:val="23B623D5"/>
    <w:rsid w:val="23EC5F66"/>
    <w:rsid w:val="23ED3190"/>
    <w:rsid w:val="24104441"/>
    <w:rsid w:val="242F3B62"/>
    <w:rsid w:val="247953B2"/>
    <w:rsid w:val="247A7B87"/>
    <w:rsid w:val="24E51F7A"/>
    <w:rsid w:val="253F1FD5"/>
    <w:rsid w:val="259F425C"/>
    <w:rsid w:val="26531727"/>
    <w:rsid w:val="266F7336"/>
    <w:rsid w:val="27005B64"/>
    <w:rsid w:val="270F1583"/>
    <w:rsid w:val="273A1B83"/>
    <w:rsid w:val="27607172"/>
    <w:rsid w:val="278A3680"/>
    <w:rsid w:val="27D370DB"/>
    <w:rsid w:val="27ED4F18"/>
    <w:rsid w:val="27FF7BCA"/>
    <w:rsid w:val="28210CC5"/>
    <w:rsid w:val="28235E4A"/>
    <w:rsid w:val="284E5DA1"/>
    <w:rsid w:val="285055FC"/>
    <w:rsid w:val="2853305C"/>
    <w:rsid w:val="285F643D"/>
    <w:rsid w:val="288E01E4"/>
    <w:rsid w:val="29126550"/>
    <w:rsid w:val="295E3016"/>
    <w:rsid w:val="296F4E72"/>
    <w:rsid w:val="29A6675D"/>
    <w:rsid w:val="29DD4178"/>
    <w:rsid w:val="2A6059C5"/>
    <w:rsid w:val="2A8F756A"/>
    <w:rsid w:val="2ABB7249"/>
    <w:rsid w:val="2AF6567B"/>
    <w:rsid w:val="2B98280F"/>
    <w:rsid w:val="2BA759D1"/>
    <w:rsid w:val="2BCF17F6"/>
    <w:rsid w:val="2BF862C1"/>
    <w:rsid w:val="2C025EDA"/>
    <w:rsid w:val="2C165923"/>
    <w:rsid w:val="2C1A6EDD"/>
    <w:rsid w:val="2C254749"/>
    <w:rsid w:val="2C320D78"/>
    <w:rsid w:val="2C3D0390"/>
    <w:rsid w:val="2C3E049C"/>
    <w:rsid w:val="2C574B1F"/>
    <w:rsid w:val="2C81107A"/>
    <w:rsid w:val="2C9158CB"/>
    <w:rsid w:val="2C990F68"/>
    <w:rsid w:val="2CF41434"/>
    <w:rsid w:val="2D2D1383"/>
    <w:rsid w:val="2D2F6636"/>
    <w:rsid w:val="2D625A0F"/>
    <w:rsid w:val="2D7E275F"/>
    <w:rsid w:val="2D8F7C42"/>
    <w:rsid w:val="2DA52FC1"/>
    <w:rsid w:val="2DBD7D60"/>
    <w:rsid w:val="2E4265BD"/>
    <w:rsid w:val="2EC91E4A"/>
    <w:rsid w:val="2ED64F8D"/>
    <w:rsid w:val="2F0D69EB"/>
    <w:rsid w:val="2F2919D0"/>
    <w:rsid w:val="2F743121"/>
    <w:rsid w:val="2F871EDA"/>
    <w:rsid w:val="2FE42670"/>
    <w:rsid w:val="306161FE"/>
    <w:rsid w:val="30695D74"/>
    <w:rsid w:val="306E7FE2"/>
    <w:rsid w:val="30A262C5"/>
    <w:rsid w:val="30CE14CF"/>
    <w:rsid w:val="315C42DF"/>
    <w:rsid w:val="317F1EE4"/>
    <w:rsid w:val="319F3801"/>
    <w:rsid w:val="31A92FFC"/>
    <w:rsid w:val="31DB5204"/>
    <w:rsid w:val="31EB6AE1"/>
    <w:rsid w:val="31EC0D5F"/>
    <w:rsid w:val="32100B57"/>
    <w:rsid w:val="328E154A"/>
    <w:rsid w:val="32B118D1"/>
    <w:rsid w:val="32C4213C"/>
    <w:rsid w:val="32D43DB2"/>
    <w:rsid w:val="32E61B3D"/>
    <w:rsid w:val="32E63E44"/>
    <w:rsid w:val="3326503C"/>
    <w:rsid w:val="335B72CA"/>
    <w:rsid w:val="339935C8"/>
    <w:rsid w:val="33B25CA3"/>
    <w:rsid w:val="33C35E1D"/>
    <w:rsid w:val="33C556DC"/>
    <w:rsid w:val="3405125B"/>
    <w:rsid w:val="348B3498"/>
    <w:rsid w:val="34C80E04"/>
    <w:rsid w:val="34D76ADF"/>
    <w:rsid w:val="35202106"/>
    <w:rsid w:val="3527199E"/>
    <w:rsid w:val="352C7706"/>
    <w:rsid w:val="35674C31"/>
    <w:rsid w:val="358A020A"/>
    <w:rsid w:val="35A7507E"/>
    <w:rsid w:val="35B6517D"/>
    <w:rsid w:val="35CB67A9"/>
    <w:rsid w:val="35E93C67"/>
    <w:rsid w:val="36853990"/>
    <w:rsid w:val="36A350D6"/>
    <w:rsid w:val="37173B70"/>
    <w:rsid w:val="37260E78"/>
    <w:rsid w:val="37C74822"/>
    <w:rsid w:val="38800020"/>
    <w:rsid w:val="38A5168D"/>
    <w:rsid w:val="38FF5FAB"/>
    <w:rsid w:val="39553AED"/>
    <w:rsid w:val="39C5775E"/>
    <w:rsid w:val="39DE33F5"/>
    <w:rsid w:val="3A0D261A"/>
    <w:rsid w:val="3A37307B"/>
    <w:rsid w:val="3A532265"/>
    <w:rsid w:val="3A6039CC"/>
    <w:rsid w:val="3AA222F0"/>
    <w:rsid w:val="3AA52853"/>
    <w:rsid w:val="3AA76468"/>
    <w:rsid w:val="3AB51C91"/>
    <w:rsid w:val="3AE41194"/>
    <w:rsid w:val="3B0E1700"/>
    <w:rsid w:val="3BA77A60"/>
    <w:rsid w:val="3BB07C78"/>
    <w:rsid w:val="3BB227A5"/>
    <w:rsid w:val="3BCF7E42"/>
    <w:rsid w:val="3BDB2C52"/>
    <w:rsid w:val="3BE93498"/>
    <w:rsid w:val="3C0212FE"/>
    <w:rsid w:val="3C13351A"/>
    <w:rsid w:val="3C593FF1"/>
    <w:rsid w:val="3CF51683"/>
    <w:rsid w:val="3CF60CAD"/>
    <w:rsid w:val="3D0C422C"/>
    <w:rsid w:val="3D0F430C"/>
    <w:rsid w:val="3D2E2245"/>
    <w:rsid w:val="3D382601"/>
    <w:rsid w:val="3D650CA1"/>
    <w:rsid w:val="3DA6768F"/>
    <w:rsid w:val="3DD7775E"/>
    <w:rsid w:val="3DE60A3D"/>
    <w:rsid w:val="3DFE2CAC"/>
    <w:rsid w:val="3E481343"/>
    <w:rsid w:val="3E5E340F"/>
    <w:rsid w:val="3EB95737"/>
    <w:rsid w:val="3EF11BBE"/>
    <w:rsid w:val="3F267357"/>
    <w:rsid w:val="3F2A02BE"/>
    <w:rsid w:val="3F3C3CA2"/>
    <w:rsid w:val="3F442AD8"/>
    <w:rsid w:val="3F493445"/>
    <w:rsid w:val="3F5834B9"/>
    <w:rsid w:val="3FA72BC9"/>
    <w:rsid w:val="4022565B"/>
    <w:rsid w:val="40343568"/>
    <w:rsid w:val="403961BF"/>
    <w:rsid w:val="40415748"/>
    <w:rsid w:val="40664828"/>
    <w:rsid w:val="408670CC"/>
    <w:rsid w:val="40896772"/>
    <w:rsid w:val="40A55CC2"/>
    <w:rsid w:val="40BB728F"/>
    <w:rsid w:val="40DF1B89"/>
    <w:rsid w:val="41652D54"/>
    <w:rsid w:val="42376048"/>
    <w:rsid w:val="42703746"/>
    <w:rsid w:val="427776FE"/>
    <w:rsid w:val="42FE2D71"/>
    <w:rsid w:val="433A3CBC"/>
    <w:rsid w:val="43D136EF"/>
    <w:rsid w:val="43D91FB7"/>
    <w:rsid w:val="43E900DD"/>
    <w:rsid w:val="43EC04FB"/>
    <w:rsid w:val="43FF654C"/>
    <w:rsid w:val="44176111"/>
    <w:rsid w:val="441C1B32"/>
    <w:rsid w:val="446E0159"/>
    <w:rsid w:val="447D707A"/>
    <w:rsid w:val="448D6D86"/>
    <w:rsid w:val="44C77869"/>
    <w:rsid w:val="44F05012"/>
    <w:rsid w:val="450C7FCB"/>
    <w:rsid w:val="454D2623"/>
    <w:rsid w:val="455E024A"/>
    <w:rsid w:val="45636496"/>
    <w:rsid w:val="457F1EF2"/>
    <w:rsid w:val="45B77212"/>
    <w:rsid w:val="45F517DC"/>
    <w:rsid w:val="46150AD0"/>
    <w:rsid w:val="462C00C1"/>
    <w:rsid w:val="466A0E2B"/>
    <w:rsid w:val="46B61944"/>
    <w:rsid w:val="46D45F0A"/>
    <w:rsid w:val="46EA2BEE"/>
    <w:rsid w:val="47451FC1"/>
    <w:rsid w:val="474A6C5C"/>
    <w:rsid w:val="477C52AB"/>
    <w:rsid w:val="47A049CA"/>
    <w:rsid w:val="47A04AA6"/>
    <w:rsid w:val="47AB6B17"/>
    <w:rsid w:val="47D90C07"/>
    <w:rsid w:val="480C5CBF"/>
    <w:rsid w:val="487B08BC"/>
    <w:rsid w:val="487E2EFD"/>
    <w:rsid w:val="48DA6141"/>
    <w:rsid w:val="49326720"/>
    <w:rsid w:val="49470F79"/>
    <w:rsid w:val="49E6291A"/>
    <w:rsid w:val="4A221E03"/>
    <w:rsid w:val="4A363AF9"/>
    <w:rsid w:val="4A9A1F6C"/>
    <w:rsid w:val="4AD24C8B"/>
    <w:rsid w:val="4B0A69DC"/>
    <w:rsid w:val="4B5140F7"/>
    <w:rsid w:val="4B534ADE"/>
    <w:rsid w:val="4B6B774D"/>
    <w:rsid w:val="4BE31EAC"/>
    <w:rsid w:val="4BEB5B3A"/>
    <w:rsid w:val="4BFA22D2"/>
    <w:rsid w:val="4C1B2BD6"/>
    <w:rsid w:val="4C4A79AD"/>
    <w:rsid w:val="4C6D79C2"/>
    <w:rsid w:val="4C771E4B"/>
    <w:rsid w:val="4CFC2B05"/>
    <w:rsid w:val="4D774E7A"/>
    <w:rsid w:val="4E1C4782"/>
    <w:rsid w:val="4E2058BA"/>
    <w:rsid w:val="4E882979"/>
    <w:rsid w:val="4EA200AD"/>
    <w:rsid w:val="4EBF5017"/>
    <w:rsid w:val="4EE11D8E"/>
    <w:rsid w:val="4FB00FB4"/>
    <w:rsid w:val="4FD3640A"/>
    <w:rsid w:val="4FF21C3E"/>
    <w:rsid w:val="50153434"/>
    <w:rsid w:val="50290E9D"/>
    <w:rsid w:val="50370EB7"/>
    <w:rsid w:val="507B45F6"/>
    <w:rsid w:val="511A2D84"/>
    <w:rsid w:val="51EF7A72"/>
    <w:rsid w:val="51F80FC6"/>
    <w:rsid w:val="520D1904"/>
    <w:rsid w:val="5215297F"/>
    <w:rsid w:val="522F1DBE"/>
    <w:rsid w:val="52AC25E5"/>
    <w:rsid w:val="52B94123"/>
    <w:rsid w:val="53485CFC"/>
    <w:rsid w:val="53955F69"/>
    <w:rsid w:val="53C44E06"/>
    <w:rsid w:val="54157BFB"/>
    <w:rsid w:val="541668D5"/>
    <w:rsid w:val="541D2558"/>
    <w:rsid w:val="5421359E"/>
    <w:rsid w:val="545C3240"/>
    <w:rsid w:val="54612B44"/>
    <w:rsid w:val="54B733AF"/>
    <w:rsid w:val="54C734B8"/>
    <w:rsid w:val="553A478E"/>
    <w:rsid w:val="554717F4"/>
    <w:rsid w:val="55D06C58"/>
    <w:rsid w:val="55FD3462"/>
    <w:rsid w:val="56200DA4"/>
    <w:rsid w:val="56365413"/>
    <w:rsid w:val="564967BB"/>
    <w:rsid w:val="56521689"/>
    <w:rsid w:val="5683280C"/>
    <w:rsid w:val="56AC391A"/>
    <w:rsid w:val="56D47F7E"/>
    <w:rsid w:val="56E04A90"/>
    <w:rsid w:val="570F3B82"/>
    <w:rsid w:val="571378BA"/>
    <w:rsid w:val="57396EB2"/>
    <w:rsid w:val="576338EE"/>
    <w:rsid w:val="57C9767E"/>
    <w:rsid w:val="57DD4F82"/>
    <w:rsid w:val="582C1E0F"/>
    <w:rsid w:val="58D90736"/>
    <w:rsid w:val="58DA10E2"/>
    <w:rsid w:val="5935562D"/>
    <w:rsid w:val="595910B4"/>
    <w:rsid w:val="59691D21"/>
    <w:rsid w:val="599B48CE"/>
    <w:rsid w:val="59BA41A7"/>
    <w:rsid w:val="59CE12BE"/>
    <w:rsid w:val="5A1110DE"/>
    <w:rsid w:val="5A141F59"/>
    <w:rsid w:val="5A252118"/>
    <w:rsid w:val="5A6D374B"/>
    <w:rsid w:val="5A893149"/>
    <w:rsid w:val="5A9647A4"/>
    <w:rsid w:val="5AA42D94"/>
    <w:rsid w:val="5ADA2410"/>
    <w:rsid w:val="5B0867BA"/>
    <w:rsid w:val="5B41210B"/>
    <w:rsid w:val="5B5D3E2F"/>
    <w:rsid w:val="5C694B67"/>
    <w:rsid w:val="5CCC77EB"/>
    <w:rsid w:val="5D2D778D"/>
    <w:rsid w:val="5D8541A2"/>
    <w:rsid w:val="5D9E1EDD"/>
    <w:rsid w:val="5DC91878"/>
    <w:rsid w:val="5E215E3C"/>
    <w:rsid w:val="5E327CC5"/>
    <w:rsid w:val="5E7136B3"/>
    <w:rsid w:val="5E7E1650"/>
    <w:rsid w:val="5EC41D86"/>
    <w:rsid w:val="5EC944B2"/>
    <w:rsid w:val="5ECB1873"/>
    <w:rsid w:val="5EDF1F25"/>
    <w:rsid w:val="5F000D42"/>
    <w:rsid w:val="5F0A1FEF"/>
    <w:rsid w:val="5F315201"/>
    <w:rsid w:val="5F531CDF"/>
    <w:rsid w:val="5F7E1B3E"/>
    <w:rsid w:val="5FC55091"/>
    <w:rsid w:val="5FF36489"/>
    <w:rsid w:val="5FF80C32"/>
    <w:rsid w:val="600A2773"/>
    <w:rsid w:val="601C3A42"/>
    <w:rsid w:val="60533573"/>
    <w:rsid w:val="60662D8D"/>
    <w:rsid w:val="6088514E"/>
    <w:rsid w:val="60B051E5"/>
    <w:rsid w:val="61131A15"/>
    <w:rsid w:val="616C2FEE"/>
    <w:rsid w:val="61973491"/>
    <w:rsid w:val="61AB438C"/>
    <w:rsid w:val="61F43B38"/>
    <w:rsid w:val="62350D51"/>
    <w:rsid w:val="62396549"/>
    <w:rsid w:val="6294077C"/>
    <w:rsid w:val="62B44624"/>
    <w:rsid w:val="62C07CC7"/>
    <w:rsid w:val="62E117E9"/>
    <w:rsid w:val="62EF1C6C"/>
    <w:rsid w:val="63200832"/>
    <w:rsid w:val="634525C3"/>
    <w:rsid w:val="641E605D"/>
    <w:rsid w:val="645273AA"/>
    <w:rsid w:val="648C342B"/>
    <w:rsid w:val="64AF3298"/>
    <w:rsid w:val="64DF5A2E"/>
    <w:rsid w:val="64FB5B49"/>
    <w:rsid w:val="65534AD5"/>
    <w:rsid w:val="65624D19"/>
    <w:rsid w:val="65835CF9"/>
    <w:rsid w:val="65975D1F"/>
    <w:rsid w:val="65C14F4E"/>
    <w:rsid w:val="65DF7812"/>
    <w:rsid w:val="65F82A2D"/>
    <w:rsid w:val="66AC7CD9"/>
    <w:rsid w:val="66D4445F"/>
    <w:rsid w:val="66F33495"/>
    <w:rsid w:val="670C7632"/>
    <w:rsid w:val="67751C71"/>
    <w:rsid w:val="678F7BAC"/>
    <w:rsid w:val="686B6B0D"/>
    <w:rsid w:val="6873723D"/>
    <w:rsid w:val="687436E1"/>
    <w:rsid w:val="68896538"/>
    <w:rsid w:val="68D71C39"/>
    <w:rsid w:val="68EC0129"/>
    <w:rsid w:val="68FB508F"/>
    <w:rsid w:val="69187A6C"/>
    <w:rsid w:val="697B34BE"/>
    <w:rsid w:val="69C8001B"/>
    <w:rsid w:val="69C836F6"/>
    <w:rsid w:val="69DE7F0C"/>
    <w:rsid w:val="69FF1943"/>
    <w:rsid w:val="6A064BF7"/>
    <w:rsid w:val="6A0B5832"/>
    <w:rsid w:val="6A7F636D"/>
    <w:rsid w:val="6A8D5941"/>
    <w:rsid w:val="6AD10F21"/>
    <w:rsid w:val="6AD37182"/>
    <w:rsid w:val="6AE75E10"/>
    <w:rsid w:val="6AEE5E74"/>
    <w:rsid w:val="6AEF52A0"/>
    <w:rsid w:val="6B5B1336"/>
    <w:rsid w:val="6B710E0B"/>
    <w:rsid w:val="6B924C11"/>
    <w:rsid w:val="6BBA520E"/>
    <w:rsid w:val="6BD261C8"/>
    <w:rsid w:val="6BF85AA9"/>
    <w:rsid w:val="6C1F0610"/>
    <w:rsid w:val="6C2C42D2"/>
    <w:rsid w:val="6C35213B"/>
    <w:rsid w:val="6C360B10"/>
    <w:rsid w:val="6CBD3409"/>
    <w:rsid w:val="6CC2364E"/>
    <w:rsid w:val="6CEF1361"/>
    <w:rsid w:val="6CF22D10"/>
    <w:rsid w:val="6D1044CA"/>
    <w:rsid w:val="6D582E02"/>
    <w:rsid w:val="6D8C23F7"/>
    <w:rsid w:val="6D9A5FDA"/>
    <w:rsid w:val="6D9D25FB"/>
    <w:rsid w:val="6DA103DE"/>
    <w:rsid w:val="6DC905E7"/>
    <w:rsid w:val="6DF37070"/>
    <w:rsid w:val="6DFB1F7E"/>
    <w:rsid w:val="6E0B6E65"/>
    <w:rsid w:val="6E1204D3"/>
    <w:rsid w:val="6E3F6DB3"/>
    <w:rsid w:val="6E607BE1"/>
    <w:rsid w:val="6E700940"/>
    <w:rsid w:val="6E745C57"/>
    <w:rsid w:val="6E757E40"/>
    <w:rsid w:val="6E7870AA"/>
    <w:rsid w:val="6E9D193C"/>
    <w:rsid w:val="6EAE5921"/>
    <w:rsid w:val="6ED846E2"/>
    <w:rsid w:val="6EE94976"/>
    <w:rsid w:val="6F08649D"/>
    <w:rsid w:val="6F284CEB"/>
    <w:rsid w:val="6F386628"/>
    <w:rsid w:val="6F5831FD"/>
    <w:rsid w:val="6F6D15A0"/>
    <w:rsid w:val="6F73078C"/>
    <w:rsid w:val="6F8B1310"/>
    <w:rsid w:val="6FDF12E8"/>
    <w:rsid w:val="6FF74DB7"/>
    <w:rsid w:val="70124427"/>
    <w:rsid w:val="705C132B"/>
    <w:rsid w:val="7086631E"/>
    <w:rsid w:val="70C03DED"/>
    <w:rsid w:val="70E363F4"/>
    <w:rsid w:val="70F13B89"/>
    <w:rsid w:val="710D6480"/>
    <w:rsid w:val="715A2873"/>
    <w:rsid w:val="71975B51"/>
    <w:rsid w:val="71D04073"/>
    <w:rsid w:val="71F10C8F"/>
    <w:rsid w:val="722A58F0"/>
    <w:rsid w:val="728A11EE"/>
    <w:rsid w:val="72A54EFE"/>
    <w:rsid w:val="72BA1917"/>
    <w:rsid w:val="72D825E8"/>
    <w:rsid w:val="737E3665"/>
    <w:rsid w:val="73CD6579"/>
    <w:rsid w:val="745D2673"/>
    <w:rsid w:val="7463243A"/>
    <w:rsid w:val="74671419"/>
    <w:rsid w:val="748F3650"/>
    <w:rsid w:val="75030724"/>
    <w:rsid w:val="754F5D1D"/>
    <w:rsid w:val="755D3838"/>
    <w:rsid w:val="75846F2D"/>
    <w:rsid w:val="75AE054D"/>
    <w:rsid w:val="76A45978"/>
    <w:rsid w:val="76D01A14"/>
    <w:rsid w:val="77266551"/>
    <w:rsid w:val="77305701"/>
    <w:rsid w:val="777F175A"/>
    <w:rsid w:val="77851372"/>
    <w:rsid w:val="77963A13"/>
    <w:rsid w:val="782C0851"/>
    <w:rsid w:val="784A7A87"/>
    <w:rsid w:val="786A03E5"/>
    <w:rsid w:val="786B45A0"/>
    <w:rsid w:val="788D616D"/>
    <w:rsid w:val="78C634B1"/>
    <w:rsid w:val="78D7299D"/>
    <w:rsid w:val="79305710"/>
    <w:rsid w:val="794C278F"/>
    <w:rsid w:val="797B1BBD"/>
    <w:rsid w:val="79DC7F7E"/>
    <w:rsid w:val="7A3905A1"/>
    <w:rsid w:val="7A632745"/>
    <w:rsid w:val="7A6419F8"/>
    <w:rsid w:val="7ACA0D4F"/>
    <w:rsid w:val="7AD54C5C"/>
    <w:rsid w:val="7B22521E"/>
    <w:rsid w:val="7B451167"/>
    <w:rsid w:val="7B4B2508"/>
    <w:rsid w:val="7B72103E"/>
    <w:rsid w:val="7BD00820"/>
    <w:rsid w:val="7BD75E88"/>
    <w:rsid w:val="7BF06275"/>
    <w:rsid w:val="7C365440"/>
    <w:rsid w:val="7C7155E6"/>
    <w:rsid w:val="7C7302D4"/>
    <w:rsid w:val="7C7863C1"/>
    <w:rsid w:val="7CC033D8"/>
    <w:rsid w:val="7D1B35C8"/>
    <w:rsid w:val="7DA921EA"/>
    <w:rsid w:val="7DC6740B"/>
    <w:rsid w:val="7DD36FE2"/>
    <w:rsid w:val="7E325778"/>
    <w:rsid w:val="7E3C03A5"/>
    <w:rsid w:val="7E47369A"/>
    <w:rsid w:val="7E5E071C"/>
    <w:rsid w:val="7E644D22"/>
    <w:rsid w:val="7EE06F82"/>
    <w:rsid w:val="7EE85521"/>
    <w:rsid w:val="7F6E73AA"/>
    <w:rsid w:val="7F911EBE"/>
    <w:rsid w:val="7FDC6D75"/>
    <w:rsid w:val="7FF54444"/>
    <w:rsid w:val="7FF54D64"/>
    <w:rsid w:val="7FF723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after="330" w:line="576" w:lineRule="auto"/>
      <w:outlineLvl w:val="0"/>
    </w:pPr>
    <w:rPr>
      <w:b/>
      <w:kern w:val="44"/>
      <w:sz w:val="44"/>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after="260" w:line="413" w:lineRule="auto"/>
      <w:outlineLvl w:val="2"/>
    </w:pPr>
    <w:rPr>
      <w:b/>
      <w:sz w:val="32"/>
    </w:rPr>
  </w:style>
  <w:style w:type="paragraph" w:styleId="6">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18">
    <w:name w:val="Default Paragraph Font"/>
    <w:semiHidden/>
    <w:unhideWhenUsed/>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2">
    <w:name w:val="Body Text"/>
    <w:basedOn w:val="1"/>
    <w:next w:val="1"/>
    <w:qFormat/>
    <w:uiPriority w:val="99"/>
    <w:pPr>
      <w:autoSpaceDE w:val="0"/>
      <w:autoSpaceDN w:val="0"/>
      <w:adjustRightInd w:val="0"/>
      <w:jc w:val="left"/>
    </w:pPr>
    <w:rPr>
      <w:rFonts w:ascii="宋体" w:cs="宋体"/>
      <w:kern w:val="0"/>
      <w:sz w:val="28"/>
      <w:szCs w:val="28"/>
    </w:rPr>
  </w:style>
  <w:style w:type="paragraph" w:styleId="7">
    <w:name w:val="annotation text"/>
    <w:basedOn w:val="1"/>
    <w:qFormat/>
    <w:uiPriority w:val="0"/>
    <w:pPr>
      <w:jc w:val="left"/>
    </w:pPr>
  </w:style>
  <w:style w:type="paragraph" w:styleId="8">
    <w:name w:val="Body Text Indent"/>
    <w:basedOn w:val="1"/>
    <w:qFormat/>
    <w:uiPriority w:val="0"/>
    <w:pPr>
      <w:spacing w:after="120"/>
      <w:ind w:left="420" w:leftChars="200"/>
    </w:pPr>
  </w:style>
  <w:style w:type="paragraph" w:styleId="9">
    <w:name w:val="toc 3"/>
    <w:basedOn w:val="1"/>
    <w:next w:val="1"/>
    <w:qFormat/>
    <w:uiPriority w:val="39"/>
    <w:pPr>
      <w:ind w:left="840" w:leftChars="400"/>
    </w:pPr>
  </w:style>
  <w:style w:type="paragraph" w:styleId="10">
    <w:name w:val="Balloon Text"/>
    <w:basedOn w:val="1"/>
    <w:link w:val="26"/>
    <w:qFormat/>
    <w:uiPriority w:val="0"/>
    <w:rPr>
      <w:sz w:val="18"/>
      <w:szCs w:val="18"/>
    </w:rPr>
  </w:style>
  <w:style w:type="paragraph" w:styleId="11">
    <w:name w:val="footer"/>
    <w:basedOn w:val="1"/>
    <w:link w:val="25"/>
    <w:qFormat/>
    <w:uiPriority w:val="99"/>
    <w:pPr>
      <w:tabs>
        <w:tab w:val="center" w:pos="4153"/>
        <w:tab w:val="right" w:pos="8306"/>
      </w:tabs>
      <w:snapToGrid w:val="0"/>
      <w:jc w:val="left"/>
    </w:pPr>
    <w:rPr>
      <w:sz w:val="18"/>
      <w:szCs w:val="18"/>
    </w:rPr>
  </w:style>
  <w:style w:type="paragraph" w:styleId="12">
    <w:name w:val="header"/>
    <w:basedOn w:val="1"/>
    <w:link w:val="24"/>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39"/>
    <w:pPr>
      <w:tabs>
        <w:tab w:val="right" w:leader="dot" w:pos="8296"/>
      </w:tabs>
    </w:pPr>
    <w:rPr>
      <w:rFonts w:ascii="黑体" w:hAnsi="黑体" w:eastAsia="黑体" w:cs="Times New Roman"/>
      <w:b/>
      <w:bCs/>
      <w:kern w:val="0"/>
    </w:rPr>
  </w:style>
  <w:style w:type="paragraph" w:styleId="14">
    <w:name w:val="toc 2"/>
    <w:basedOn w:val="1"/>
    <w:next w:val="1"/>
    <w:qFormat/>
    <w:uiPriority w:val="39"/>
    <w:pPr>
      <w:ind w:left="420" w:leftChars="200"/>
    </w:pPr>
  </w:style>
  <w:style w:type="paragraph" w:styleId="15">
    <w:name w:val="Normal (Web)"/>
    <w:basedOn w:val="1"/>
    <w:qFormat/>
    <w:uiPriority w:val="0"/>
    <w:pPr>
      <w:jc w:val="left"/>
    </w:pPr>
    <w:rPr>
      <w:rFonts w:cs="Times New Roman"/>
      <w:kern w:val="0"/>
      <w:sz w:val="24"/>
    </w:rPr>
  </w:style>
  <w:style w:type="paragraph" w:styleId="16">
    <w:name w:val="Body Text First Indent 2"/>
    <w:basedOn w:val="8"/>
    <w:next w:val="1"/>
    <w:qFormat/>
    <w:uiPriority w:val="0"/>
    <w:pPr>
      <w:spacing w:line="560" w:lineRule="exact"/>
      <w:ind w:left="0" w:leftChars="0" w:firstLine="720" w:firstLineChars="200"/>
    </w:pPr>
    <w:rPr>
      <w:rFonts w:ascii="Calibri" w:hAnsi="Calibri" w:eastAsia="方正仿宋_GBK" w:cs="Times New Roman"/>
      <w:sz w:val="32"/>
    </w:rPr>
  </w:style>
  <w:style w:type="character" w:styleId="19">
    <w:name w:val="Emphasis"/>
    <w:basedOn w:val="18"/>
    <w:qFormat/>
    <w:uiPriority w:val="0"/>
    <w:rPr>
      <w:i/>
    </w:rPr>
  </w:style>
  <w:style w:type="character" w:styleId="20">
    <w:name w:val="Hyperlink"/>
    <w:basedOn w:val="18"/>
    <w:unhideWhenUsed/>
    <w:qFormat/>
    <w:uiPriority w:val="99"/>
    <w:rPr>
      <w:color w:val="0563C1" w:themeColor="hyperlink"/>
      <w:u w:val="single"/>
      <w14:textFill>
        <w14:solidFill>
          <w14:schemeClr w14:val="hlink"/>
        </w14:solidFill>
      </w14:textFill>
    </w:rPr>
  </w:style>
  <w:style w:type="character" w:styleId="21">
    <w:name w:val="annotation reference"/>
    <w:basedOn w:val="18"/>
    <w:qFormat/>
    <w:uiPriority w:val="0"/>
    <w:rPr>
      <w:sz w:val="21"/>
      <w:szCs w:val="21"/>
    </w:rPr>
  </w:style>
  <w:style w:type="paragraph" w:customStyle="1" w:styleId="22">
    <w:name w:val="正文文本首行缩进 21"/>
    <w:basedOn w:val="1"/>
    <w:qFormat/>
    <w:uiPriority w:val="0"/>
    <w:pPr>
      <w:ind w:firstLine="420" w:firstLineChars="200"/>
    </w:pPr>
    <w:rPr>
      <w:rFonts w:ascii="Times New Roman" w:hAnsi="Times New Roman" w:eastAsia="仿宋_GB2312" w:cs="Times New Roman"/>
      <w:szCs w:val="32"/>
    </w:rPr>
  </w:style>
  <w:style w:type="paragraph" w:styleId="23">
    <w:name w:val="List Paragraph"/>
    <w:basedOn w:val="1"/>
    <w:qFormat/>
    <w:uiPriority w:val="99"/>
    <w:pPr>
      <w:ind w:firstLine="420" w:firstLineChars="200"/>
    </w:pPr>
  </w:style>
  <w:style w:type="character" w:customStyle="1" w:styleId="24">
    <w:name w:val="页眉 字符"/>
    <w:basedOn w:val="18"/>
    <w:link w:val="12"/>
    <w:qFormat/>
    <w:uiPriority w:val="0"/>
    <w:rPr>
      <w:rFonts w:asciiTheme="minorHAnsi" w:hAnsiTheme="minorHAnsi" w:eastAsiaTheme="minorEastAsia" w:cstheme="minorBidi"/>
      <w:kern w:val="2"/>
      <w:sz w:val="18"/>
      <w:szCs w:val="18"/>
    </w:rPr>
  </w:style>
  <w:style w:type="character" w:customStyle="1" w:styleId="25">
    <w:name w:val="页脚 字符"/>
    <w:basedOn w:val="18"/>
    <w:link w:val="11"/>
    <w:qFormat/>
    <w:uiPriority w:val="99"/>
    <w:rPr>
      <w:rFonts w:asciiTheme="minorHAnsi" w:hAnsiTheme="minorHAnsi" w:eastAsiaTheme="minorEastAsia" w:cstheme="minorBidi"/>
      <w:kern w:val="2"/>
      <w:sz w:val="18"/>
      <w:szCs w:val="18"/>
    </w:rPr>
  </w:style>
  <w:style w:type="character" w:customStyle="1" w:styleId="26">
    <w:name w:val="批注框文本 字符"/>
    <w:basedOn w:val="18"/>
    <w:link w:val="10"/>
    <w:qFormat/>
    <w:uiPriority w:val="0"/>
    <w:rPr>
      <w:rFonts w:asciiTheme="minorHAnsi" w:hAnsiTheme="minorHAnsi" w:eastAsiaTheme="minorEastAsia" w:cstheme="minorBidi"/>
      <w:kern w:val="2"/>
      <w:sz w:val="18"/>
      <w:szCs w:val="18"/>
    </w:rPr>
  </w:style>
  <w:style w:type="paragraph" w:customStyle="1" w:styleId="27">
    <w:name w:val="TOC 标题1"/>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theme" Target="theme/theme1.xml"/><Relationship Id="rId49" Type="http://schemas.openxmlformats.org/officeDocument/2006/relationships/customXml" Target="../customXml/item1.xml"/><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pn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F6DD81-65B6-4FC9-BD35-73E0F30624F6}">
  <ds:schemaRefs/>
</ds:datastoreItem>
</file>

<file path=docProps/app.xml><?xml version="1.0" encoding="utf-8"?>
<Properties xmlns="http://schemas.openxmlformats.org/officeDocument/2006/extended-properties" xmlns:vt="http://schemas.openxmlformats.org/officeDocument/2006/docPropsVTypes">
  <Template>Normal</Template>
  <Pages>56</Pages>
  <Words>3686</Words>
  <Characters>21016</Characters>
  <Lines>175</Lines>
  <Paragraphs>49</Paragraphs>
  <TotalTime>3</TotalTime>
  <ScaleCrop>false</ScaleCrop>
  <LinksUpToDate>false</LinksUpToDate>
  <CharactersWithSpaces>24653</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2022-03-23T01:07:00Z</dcterms:created>
  <dc:creator>jnhg</dc:creator>
  <cp:lastModifiedBy>jnhg</cp:lastModifiedBy>
  <cp:lastPrinted>2022-03-28T02:06:00Z</cp:lastPrinted>
  <dcterms:modified xsi:type="dcterms:W3CDTF">2022-03-28T08:07:42Z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31B17BCAEC6247FE8B374AA57A6D2427</vt:lpwstr>
  </property>
</Properties>
</file>